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0A01" w14:textId="6C1B06EB" w:rsidR="00C9417C" w:rsidRPr="003950F6" w:rsidRDefault="00EE107A">
      <w:pPr>
        <w:rPr>
          <w:rFonts w:ascii="Times New Roman" w:hAnsi="Times New Roman" w:cs="Times New Roman"/>
          <w:sz w:val="24"/>
          <w:szCs w:val="24"/>
        </w:rPr>
      </w:pPr>
      <w:r w:rsidRPr="003950F6">
        <w:rPr>
          <w:rFonts w:ascii="Times New Roman" w:hAnsi="Times New Roman" w:cs="Times New Roman"/>
          <w:sz w:val="24"/>
          <w:szCs w:val="24"/>
        </w:rPr>
        <w:t xml:space="preserve">Table 1 </w:t>
      </w:r>
      <w:r w:rsidR="004449FF" w:rsidRPr="003950F6">
        <w:rPr>
          <w:rFonts w:ascii="Times New Roman" w:hAnsi="Times New Roman" w:cs="Times New Roman"/>
          <w:sz w:val="24"/>
          <w:szCs w:val="24"/>
        </w:rPr>
        <w:t>Local tramadol administration within orofacial tissues – ways of application and possible clinical use in dentistry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5"/>
        <w:gridCol w:w="1971"/>
        <w:gridCol w:w="2237"/>
        <w:gridCol w:w="2829"/>
      </w:tblGrid>
      <w:tr w:rsidR="0085178E" w:rsidRPr="003950F6" w14:paraId="3D8DB16E" w14:textId="77777777" w:rsidTr="0063609F">
        <w:tc>
          <w:tcPr>
            <w:tcW w:w="2265" w:type="dxa"/>
          </w:tcPr>
          <w:p w14:paraId="1FD24D0A" w14:textId="32CC5E96" w:rsidR="0085178E" w:rsidRPr="003950F6" w:rsidRDefault="008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Way of administration</w:t>
            </w:r>
          </w:p>
        </w:tc>
        <w:tc>
          <w:tcPr>
            <w:tcW w:w="2265" w:type="dxa"/>
          </w:tcPr>
          <w:p w14:paraId="160387E5" w14:textId="2E23A3A2" w:rsidR="0085178E" w:rsidRPr="003950F6" w:rsidRDefault="008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Tramadol formula used</w:t>
            </w:r>
          </w:p>
        </w:tc>
        <w:tc>
          <w:tcPr>
            <w:tcW w:w="2265" w:type="dxa"/>
          </w:tcPr>
          <w:p w14:paraId="61E24882" w14:textId="744BAB9C" w:rsidR="0085178E" w:rsidRPr="003950F6" w:rsidRDefault="008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Place of administration</w:t>
            </w:r>
          </w:p>
        </w:tc>
        <w:tc>
          <w:tcPr>
            <w:tcW w:w="2266" w:type="dxa"/>
          </w:tcPr>
          <w:p w14:paraId="410485D5" w14:textId="29B73909" w:rsidR="0085178E" w:rsidRPr="003950F6" w:rsidRDefault="008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Clinical situation in dentistry</w:t>
            </w:r>
          </w:p>
        </w:tc>
      </w:tr>
      <w:tr w:rsidR="0085178E" w:rsidRPr="003950F6" w14:paraId="2190B6CE" w14:textId="77777777" w:rsidTr="0063609F">
        <w:tc>
          <w:tcPr>
            <w:tcW w:w="2265" w:type="dxa"/>
          </w:tcPr>
          <w:p w14:paraId="7FDC9CA7" w14:textId="33D3C05E" w:rsidR="0085178E" w:rsidRPr="003950F6" w:rsidRDefault="008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Topical</w:t>
            </w:r>
          </w:p>
        </w:tc>
        <w:tc>
          <w:tcPr>
            <w:tcW w:w="2265" w:type="dxa"/>
          </w:tcPr>
          <w:p w14:paraId="15E3A8D9" w14:textId="15473DB0" w:rsidR="0085178E" w:rsidRPr="003950F6" w:rsidRDefault="008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5% solution</w:t>
            </w:r>
            <w:r w:rsidR="00ED226B"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 administered as</w:t>
            </w: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 gargle,</w:t>
            </w:r>
            <w:r w:rsidR="00ED226B"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</w:p>
          <w:p w14:paraId="32071709" w14:textId="7E1F6198" w:rsidR="0085178E" w:rsidRPr="003950F6" w:rsidRDefault="00ED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5178E" w:rsidRPr="003950F6">
              <w:rPr>
                <w:rFonts w:ascii="Times New Roman" w:hAnsi="Times New Roman" w:cs="Times New Roman"/>
                <w:sz w:val="24"/>
                <w:szCs w:val="24"/>
              </w:rPr>
              <w:t>wabs soaked with solution,</w:t>
            </w: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14:paraId="139055CB" w14:textId="537C9C4C" w:rsidR="0085178E" w:rsidRPr="003950F6" w:rsidRDefault="00ED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5178E" w:rsidRPr="003950F6">
              <w:rPr>
                <w:rFonts w:ascii="Times New Roman" w:hAnsi="Times New Roman" w:cs="Times New Roman"/>
                <w:sz w:val="24"/>
                <w:szCs w:val="24"/>
              </w:rPr>
              <w:t>elatine resorbable sponges (</w:t>
            </w:r>
            <w:proofErr w:type="spellStart"/>
            <w:r w:rsidR="0085178E" w:rsidRPr="003950F6">
              <w:rPr>
                <w:rFonts w:ascii="Times New Roman" w:hAnsi="Times New Roman" w:cs="Times New Roman"/>
                <w:sz w:val="24"/>
                <w:szCs w:val="24"/>
              </w:rPr>
              <w:t>intrasocket</w:t>
            </w:r>
            <w:proofErr w:type="spellEnd"/>
            <w:r w:rsidR="0085178E" w:rsidRPr="003950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5" w:type="dxa"/>
          </w:tcPr>
          <w:p w14:paraId="4D72AEC0" w14:textId="2081185C" w:rsidR="0085178E" w:rsidRPr="003950F6" w:rsidRDefault="008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Oral mucosa, </w:t>
            </w:r>
            <w:proofErr w:type="spellStart"/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postextractional</w:t>
            </w:r>
            <w:proofErr w:type="spellEnd"/>
            <w:r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 sockets</w:t>
            </w:r>
          </w:p>
        </w:tc>
        <w:tc>
          <w:tcPr>
            <w:tcW w:w="2266" w:type="dxa"/>
          </w:tcPr>
          <w:p w14:paraId="7B28B53A" w14:textId="5E7E78CE" w:rsidR="00ED226B" w:rsidRPr="003950F6" w:rsidRDefault="003950F6" w:rsidP="00ED226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early management and prevention of postprocedural pain in oral surgery, after exodontia,</w:t>
            </w:r>
          </w:p>
          <w:p w14:paraId="7EADCC83" w14:textId="47C0E46B" w:rsidR="00ED226B" w:rsidRPr="003950F6" w:rsidRDefault="003950F6" w:rsidP="00ED226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symptomatic management of oral mucositis and other painful conditions (further research needed)</w:t>
            </w:r>
          </w:p>
          <w:p w14:paraId="43A6CDCC" w14:textId="6C8BC7AE" w:rsidR="0085178E" w:rsidRPr="003950F6" w:rsidRDefault="0085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78E" w:rsidRPr="003950F6" w14:paraId="3CF31112" w14:textId="77777777" w:rsidTr="0063609F">
        <w:tc>
          <w:tcPr>
            <w:tcW w:w="2265" w:type="dxa"/>
          </w:tcPr>
          <w:p w14:paraId="0BE547F7" w14:textId="0ACEFDA8" w:rsidR="0085178E" w:rsidRPr="003950F6" w:rsidRDefault="008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Intraarticular injection</w:t>
            </w:r>
          </w:p>
        </w:tc>
        <w:tc>
          <w:tcPr>
            <w:tcW w:w="2265" w:type="dxa"/>
          </w:tcPr>
          <w:p w14:paraId="760694DC" w14:textId="1089309D" w:rsidR="0085178E" w:rsidRPr="003950F6" w:rsidRDefault="00ED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2554B"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mg from 5% solution diluted with 5% Ringer's lactate </w:t>
            </w:r>
          </w:p>
        </w:tc>
        <w:tc>
          <w:tcPr>
            <w:tcW w:w="2265" w:type="dxa"/>
          </w:tcPr>
          <w:p w14:paraId="7589BCB8" w14:textId="3925E5E7" w:rsidR="0085178E" w:rsidRPr="003950F6" w:rsidRDefault="008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Temporomandibular joint (TMJ)</w:t>
            </w:r>
            <w:r w:rsidR="00ED226B"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 – administered after arthrocentesis</w:t>
            </w:r>
          </w:p>
        </w:tc>
        <w:tc>
          <w:tcPr>
            <w:tcW w:w="2266" w:type="dxa"/>
          </w:tcPr>
          <w:p w14:paraId="4019E856" w14:textId="32DE77DD" w:rsidR="0085178E" w:rsidRPr="003950F6" w:rsidRDefault="0085178E" w:rsidP="00ED226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temporomandibular osteoarthritis</w:t>
            </w:r>
          </w:p>
        </w:tc>
      </w:tr>
      <w:tr w:rsidR="00ED226B" w:rsidRPr="003950F6" w14:paraId="661DE85B" w14:textId="77777777" w:rsidTr="0063609F">
        <w:tc>
          <w:tcPr>
            <w:tcW w:w="2265" w:type="dxa"/>
          </w:tcPr>
          <w:p w14:paraId="7E4B3BE8" w14:textId="545497CD" w:rsidR="00ED226B" w:rsidRPr="003950F6" w:rsidRDefault="00ED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Submucosal injection</w:t>
            </w:r>
          </w:p>
        </w:tc>
        <w:tc>
          <w:tcPr>
            <w:tcW w:w="2265" w:type="dxa"/>
          </w:tcPr>
          <w:p w14:paraId="274631C3" w14:textId="4B07FD17" w:rsidR="00ED226B" w:rsidRPr="003950F6" w:rsidRDefault="00ED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5% solution, 5% solution with epinephrine</w:t>
            </w:r>
            <w:r w:rsidR="0056024F"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 1:80,000</w:t>
            </w:r>
          </w:p>
        </w:tc>
        <w:tc>
          <w:tcPr>
            <w:tcW w:w="2265" w:type="dxa"/>
          </w:tcPr>
          <w:p w14:paraId="228E0606" w14:textId="77777777" w:rsidR="00ED226B" w:rsidRPr="003950F6" w:rsidRDefault="00ED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Close proximity to surgical intervention (performed or planned),</w:t>
            </w:r>
          </w:p>
          <w:p w14:paraId="4AEFD0B1" w14:textId="02C37D6F" w:rsidR="00ED226B" w:rsidRPr="003950F6" w:rsidRDefault="0056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near sensory nerve trunk or nerve </w:t>
            </w:r>
            <w:r w:rsidR="00BB7580" w:rsidRPr="003950F6">
              <w:rPr>
                <w:rFonts w:ascii="Times New Roman" w:hAnsi="Times New Roman" w:cs="Times New Roman"/>
                <w:sz w:val="24"/>
                <w:szCs w:val="24"/>
              </w:rPr>
              <w:t>endings</w:t>
            </w:r>
          </w:p>
        </w:tc>
        <w:tc>
          <w:tcPr>
            <w:tcW w:w="2266" w:type="dxa"/>
          </w:tcPr>
          <w:p w14:paraId="7104F9BF" w14:textId="37D4201B" w:rsidR="00ED226B" w:rsidRPr="003950F6" w:rsidRDefault="00ED226B" w:rsidP="00ED226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postprocedural pain management in oral surgery</w:t>
            </w:r>
            <w:r w:rsidR="0056024F" w:rsidRPr="003950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B2BB7E" w14:textId="4DCC2603" w:rsidR="00ED226B" w:rsidRPr="003950F6" w:rsidRDefault="0056024F" w:rsidP="00ED226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preemptive</w:t>
            </w:r>
            <w:proofErr w:type="spellEnd"/>
            <w:r w:rsidRPr="003950F6"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  <w:r w:rsidR="0072554B" w:rsidRPr="003950F6">
              <w:rPr>
                <w:rFonts w:ascii="Times New Roman" w:hAnsi="Times New Roman" w:cs="Times New Roman"/>
                <w:sz w:val="24"/>
                <w:szCs w:val="24"/>
              </w:rPr>
              <w:t>lgesia</w:t>
            </w: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4B81C1" w14:textId="77777777" w:rsidR="0056024F" w:rsidRPr="003950F6" w:rsidRDefault="0056024F" w:rsidP="00ED226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improvement of efficacy of IANB in symptomatic patients</w:t>
            </w:r>
          </w:p>
          <w:p w14:paraId="6D2601BF" w14:textId="31822B98" w:rsidR="0056024F" w:rsidRPr="003950F6" w:rsidRDefault="0056024F" w:rsidP="00ED226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950F6">
              <w:rPr>
                <w:rFonts w:ascii="Times New Roman" w:hAnsi="Times New Roman" w:cs="Times New Roman"/>
                <w:sz w:val="24"/>
                <w:szCs w:val="24"/>
              </w:rPr>
              <w:t>infiltrative and block local anaesthesia (plain, with epinephrine or as adjunct to local anaesthetic solution)</w:t>
            </w:r>
          </w:p>
        </w:tc>
      </w:tr>
    </w:tbl>
    <w:p w14:paraId="7E7E0EAB" w14:textId="3303F777" w:rsidR="00EE107A" w:rsidRPr="003950F6" w:rsidRDefault="00BB7580">
      <w:pPr>
        <w:rPr>
          <w:rFonts w:ascii="Times New Roman" w:hAnsi="Times New Roman" w:cs="Times New Roman"/>
          <w:sz w:val="24"/>
          <w:szCs w:val="24"/>
        </w:rPr>
      </w:pPr>
      <w:r w:rsidRPr="003950F6">
        <w:rPr>
          <w:rFonts w:ascii="Times New Roman" w:hAnsi="Times New Roman" w:cs="Times New Roman"/>
          <w:sz w:val="24"/>
          <w:szCs w:val="24"/>
        </w:rPr>
        <w:t>IANB – inferior alveolar nerve block</w:t>
      </w:r>
    </w:p>
    <w:sectPr w:rsidR="00EE107A" w:rsidRPr="003950F6" w:rsidSect="0064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A6808"/>
    <w:multiLevelType w:val="hybridMultilevel"/>
    <w:tmpl w:val="7C38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92D56"/>
    <w:multiLevelType w:val="hybridMultilevel"/>
    <w:tmpl w:val="81E23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08645">
    <w:abstractNumId w:val="0"/>
  </w:num>
  <w:num w:numId="2" w16cid:durableId="65668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7A"/>
    <w:rsid w:val="003950F6"/>
    <w:rsid w:val="004449FF"/>
    <w:rsid w:val="0056024F"/>
    <w:rsid w:val="006449DB"/>
    <w:rsid w:val="0072554B"/>
    <w:rsid w:val="0085178E"/>
    <w:rsid w:val="00BB7580"/>
    <w:rsid w:val="00C9417C"/>
    <w:rsid w:val="00ED226B"/>
    <w:rsid w:val="00E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25A4"/>
  <w15:chartTrackingRefBased/>
  <w15:docId w15:val="{568FE1E2-B6E0-4A9D-977E-3D0F13AE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2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Pasternak</dc:creator>
  <cp:keywords/>
  <dc:description/>
  <cp:lastModifiedBy>Marcin Pasternak</cp:lastModifiedBy>
  <cp:revision>4</cp:revision>
  <dcterms:created xsi:type="dcterms:W3CDTF">2023-03-22T07:46:00Z</dcterms:created>
  <dcterms:modified xsi:type="dcterms:W3CDTF">2023-04-04T07:40:00Z</dcterms:modified>
</cp:coreProperties>
</file>