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3407" w14:textId="528CB16F" w:rsidR="00C9417C" w:rsidRPr="00CC54C8" w:rsidRDefault="00977ED9">
      <w:pPr>
        <w:rPr>
          <w:rFonts w:ascii="Times New Roman" w:hAnsi="Times New Roman" w:cs="Times New Roman"/>
          <w:sz w:val="24"/>
          <w:szCs w:val="24"/>
        </w:rPr>
      </w:pPr>
      <w:r w:rsidRPr="00CC54C8">
        <w:rPr>
          <w:rFonts w:ascii="Times New Roman" w:hAnsi="Times New Roman" w:cs="Times New Roman"/>
          <w:sz w:val="24"/>
          <w:szCs w:val="24"/>
        </w:rPr>
        <w:t xml:space="preserve">Table 2 </w:t>
      </w:r>
      <w:r w:rsidR="00CC54C8" w:rsidRPr="00CC54C8">
        <w:rPr>
          <w:rFonts w:ascii="Times New Roman" w:hAnsi="Times New Roman" w:cs="Times New Roman"/>
          <w:sz w:val="24"/>
          <w:szCs w:val="24"/>
        </w:rPr>
        <w:t>Possible clinical applications of ropivacaine with important results for dental practice</w:t>
      </w:r>
    </w:p>
    <w:tbl>
      <w:tblPr>
        <w:tblStyle w:val="Tabela-Siatka"/>
        <w:tblW w:w="0" w:type="auto"/>
        <w:tblLook w:val="04A0" w:firstRow="1" w:lastRow="0" w:firstColumn="1" w:lastColumn="0" w:noHBand="0" w:noVBand="1"/>
      </w:tblPr>
      <w:tblGrid>
        <w:gridCol w:w="2493"/>
        <w:gridCol w:w="2336"/>
        <w:gridCol w:w="1797"/>
        <w:gridCol w:w="2436"/>
      </w:tblGrid>
      <w:tr w:rsidR="00C91739" w:rsidRPr="00CC54C8" w14:paraId="179992FC" w14:textId="77777777" w:rsidTr="00C91739">
        <w:tc>
          <w:tcPr>
            <w:tcW w:w="2493" w:type="dxa"/>
          </w:tcPr>
          <w:p w14:paraId="3E1D5034" w14:textId="6814AF94" w:rsidR="00C91739" w:rsidRPr="00CC54C8" w:rsidRDefault="00C91739">
            <w:pPr>
              <w:rPr>
                <w:rFonts w:ascii="Times New Roman" w:hAnsi="Times New Roman" w:cs="Times New Roman"/>
                <w:sz w:val="24"/>
                <w:szCs w:val="24"/>
              </w:rPr>
            </w:pPr>
            <w:r>
              <w:rPr>
                <w:rFonts w:ascii="Times New Roman" w:hAnsi="Times New Roman" w:cs="Times New Roman"/>
                <w:sz w:val="24"/>
                <w:szCs w:val="24"/>
              </w:rPr>
              <w:t>Clinical application</w:t>
            </w:r>
          </w:p>
        </w:tc>
        <w:tc>
          <w:tcPr>
            <w:tcW w:w="2336" w:type="dxa"/>
          </w:tcPr>
          <w:p w14:paraId="059AB748" w14:textId="1E46E056"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t>Results from trials</w:t>
            </w:r>
          </w:p>
        </w:tc>
        <w:tc>
          <w:tcPr>
            <w:tcW w:w="1797" w:type="dxa"/>
          </w:tcPr>
          <w:p w14:paraId="034DA822" w14:textId="2475A25D" w:rsidR="00C91739" w:rsidRPr="00CC54C8" w:rsidRDefault="00C91739">
            <w:pPr>
              <w:rPr>
                <w:rFonts w:ascii="Times New Roman" w:hAnsi="Times New Roman" w:cs="Times New Roman"/>
                <w:sz w:val="24"/>
                <w:szCs w:val="24"/>
              </w:rPr>
            </w:pPr>
            <w:r>
              <w:rPr>
                <w:rFonts w:ascii="Times New Roman" w:hAnsi="Times New Roman" w:cs="Times New Roman"/>
                <w:sz w:val="24"/>
                <w:szCs w:val="24"/>
              </w:rPr>
              <w:t>Can ropivacaine be used in this application?</w:t>
            </w:r>
          </w:p>
        </w:tc>
        <w:tc>
          <w:tcPr>
            <w:tcW w:w="2436" w:type="dxa"/>
          </w:tcPr>
          <w:p w14:paraId="1B75F736" w14:textId="51429B53"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t>Outcomes important for dental practice</w:t>
            </w:r>
          </w:p>
        </w:tc>
      </w:tr>
      <w:tr w:rsidR="00C91739" w:rsidRPr="00CC54C8" w14:paraId="2CB203A2" w14:textId="77777777" w:rsidTr="00C91739">
        <w:tc>
          <w:tcPr>
            <w:tcW w:w="2493" w:type="dxa"/>
          </w:tcPr>
          <w:p w14:paraId="79A88225" w14:textId="323C86D9"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t>Inferior alveolar nerve block</w:t>
            </w:r>
          </w:p>
        </w:tc>
        <w:tc>
          <w:tcPr>
            <w:tcW w:w="2336" w:type="dxa"/>
          </w:tcPr>
          <w:p w14:paraId="5095B2E9" w14:textId="1EFF94FA" w:rsidR="00C91739" w:rsidRPr="00CC54C8" w:rsidRDefault="00C91739">
            <w:pPr>
              <w:rPr>
                <w:rFonts w:ascii="Times New Roman" w:hAnsi="Times New Roman" w:cs="Times New Roman"/>
                <w:sz w:val="24"/>
                <w:szCs w:val="24"/>
              </w:rPr>
            </w:pPr>
            <w:r>
              <w:rPr>
                <w:rFonts w:ascii="Times New Roman" w:hAnsi="Times New Roman" w:cs="Times New Roman"/>
                <w:sz w:val="24"/>
                <w:szCs w:val="24"/>
              </w:rPr>
              <w:t>0.5% and 0.75% ropivacaine administered in volumes 1 – 3.5 mL provides effective intra-operative pain control in procedures in the field of oral surgery conservative dentistry.</w:t>
            </w:r>
          </w:p>
        </w:tc>
        <w:tc>
          <w:tcPr>
            <w:tcW w:w="1797" w:type="dxa"/>
          </w:tcPr>
          <w:p w14:paraId="56C6C038" w14:textId="37FCE215" w:rsidR="00C91739" w:rsidRDefault="00C91739">
            <w:pPr>
              <w:rPr>
                <w:rFonts w:ascii="Times New Roman" w:hAnsi="Times New Roman" w:cs="Times New Roman"/>
                <w:sz w:val="24"/>
                <w:szCs w:val="24"/>
              </w:rPr>
            </w:pPr>
            <w:r>
              <w:rPr>
                <w:rFonts w:ascii="Times New Roman" w:hAnsi="Times New Roman" w:cs="Times New Roman"/>
                <w:sz w:val="24"/>
                <w:szCs w:val="24"/>
              </w:rPr>
              <w:t>Yes</w:t>
            </w:r>
          </w:p>
        </w:tc>
        <w:tc>
          <w:tcPr>
            <w:tcW w:w="2436" w:type="dxa"/>
          </w:tcPr>
          <w:p w14:paraId="19FD7D06" w14:textId="5537BFD2" w:rsidR="00C91739" w:rsidRPr="00CC54C8" w:rsidRDefault="00C91739">
            <w:pPr>
              <w:rPr>
                <w:rFonts w:ascii="Times New Roman" w:hAnsi="Times New Roman" w:cs="Times New Roman"/>
                <w:sz w:val="24"/>
                <w:szCs w:val="24"/>
              </w:rPr>
            </w:pPr>
            <w:r>
              <w:rPr>
                <w:rFonts w:ascii="Times New Roman" w:hAnsi="Times New Roman" w:cs="Times New Roman"/>
                <w:sz w:val="24"/>
                <w:szCs w:val="24"/>
              </w:rPr>
              <w:t>0.5% and 0.75% ropivacaine (latter concentration could be a better choice in more painful procedures) can be employed in oral surgery and dentistry, especially when longer anaesthesia is needed and vasoconstrictor should be restricted. This kind of block is not recommended in children younger than 12 year and patients with mental disabilities due to the higher risk of self-induced injuries of anaesthetised soft tissues</w:t>
            </w:r>
          </w:p>
        </w:tc>
      </w:tr>
      <w:tr w:rsidR="00C91739" w:rsidRPr="00CC54C8" w14:paraId="0AE08EA0" w14:textId="77777777" w:rsidTr="00C91739">
        <w:tc>
          <w:tcPr>
            <w:tcW w:w="2493" w:type="dxa"/>
          </w:tcPr>
          <w:p w14:paraId="51994788" w14:textId="39134B96"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t>Infiltrative anaesthesia</w:t>
            </w:r>
          </w:p>
        </w:tc>
        <w:tc>
          <w:tcPr>
            <w:tcW w:w="2336" w:type="dxa"/>
          </w:tcPr>
          <w:p w14:paraId="5A474AD6" w14:textId="3C2F4515" w:rsidR="00C91739" w:rsidRDefault="00DB19D1">
            <w:pPr>
              <w:rPr>
                <w:rFonts w:ascii="Times New Roman" w:hAnsi="Times New Roman" w:cs="Times New Roman"/>
                <w:sz w:val="24"/>
                <w:szCs w:val="24"/>
              </w:rPr>
            </w:pPr>
            <w:r>
              <w:rPr>
                <w:rFonts w:ascii="Times New Roman" w:hAnsi="Times New Roman" w:cs="Times New Roman"/>
                <w:sz w:val="24"/>
                <w:szCs w:val="24"/>
              </w:rPr>
              <w:t xml:space="preserve">Ropivacaine in concentrations: </w:t>
            </w:r>
            <w:r w:rsidR="00FE2AAD">
              <w:rPr>
                <w:rFonts w:ascii="Times New Roman" w:hAnsi="Times New Roman" w:cs="Times New Roman"/>
                <w:sz w:val="24"/>
                <w:szCs w:val="24"/>
              </w:rPr>
              <w:t>0.5% administered in volumes at least 1.8 mL,</w:t>
            </w:r>
          </w:p>
          <w:p w14:paraId="537FAAB0" w14:textId="18521F99" w:rsidR="00FE2AAD" w:rsidRDefault="00FE2AAD">
            <w:pPr>
              <w:rPr>
                <w:rFonts w:ascii="Times New Roman" w:hAnsi="Times New Roman" w:cs="Times New Roman"/>
                <w:sz w:val="24"/>
                <w:szCs w:val="24"/>
              </w:rPr>
            </w:pPr>
            <w:r>
              <w:rPr>
                <w:rFonts w:ascii="Times New Roman" w:hAnsi="Times New Roman" w:cs="Times New Roman"/>
                <w:sz w:val="24"/>
                <w:szCs w:val="24"/>
              </w:rPr>
              <w:t xml:space="preserve">0.75% administered in volumes at least 1 mL (however better effects </w:t>
            </w:r>
            <w:r w:rsidR="00DB19D1">
              <w:rPr>
                <w:rFonts w:ascii="Times New Roman" w:hAnsi="Times New Roman" w:cs="Times New Roman"/>
                <w:sz w:val="24"/>
                <w:szCs w:val="24"/>
              </w:rPr>
              <w:t xml:space="preserve">were obtained </w:t>
            </w:r>
            <w:r>
              <w:rPr>
                <w:rFonts w:ascii="Times New Roman" w:hAnsi="Times New Roman" w:cs="Times New Roman"/>
                <w:sz w:val="24"/>
                <w:szCs w:val="24"/>
              </w:rPr>
              <w:t>when the volume was equal or exceeded 1.8 mL)</w:t>
            </w:r>
          </w:p>
          <w:p w14:paraId="005A0400" w14:textId="171CDDA9" w:rsidR="00FE2AAD" w:rsidRPr="00CC54C8" w:rsidRDefault="00DB19D1">
            <w:pPr>
              <w:rPr>
                <w:rFonts w:ascii="Times New Roman" w:hAnsi="Times New Roman" w:cs="Times New Roman"/>
                <w:sz w:val="24"/>
                <w:szCs w:val="24"/>
              </w:rPr>
            </w:pPr>
            <w:r>
              <w:rPr>
                <w:rFonts w:ascii="Times New Roman" w:hAnsi="Times New Roman" w:cs="Times New Roman"/>
                <w:sz w:val="24"/>
                <w:szCs w:val="24"/>
              </w:rPr>
              <w:t xml:space="preserve">and </w:t>
            </w:r>
            <w:r w:rsidR="00FE2AAD">
              <w:rPr>
                <w:rFonts w:ascii="Times New Roman" w:hAnsi="Times New Roman" w:cs="Times New Roman"/>
                <w:sz w:val="24"/>
                <w:szCs w:val="24"/>
              </w:rPr>
              <w:t xml:space="preserve">1% </w:t>
            </w:r>
            <w:r w:rsidR="00FE2AAD" w:rsidRPr="00FE2AAD">
              <w:rPr>
                <w:rFonts w:ascii="Times New Roman" w:hAnsi="Times New Roman" w:cs="Times New Roman"/>
                <w:sz w:val="24"/>
                <w:szCs w:val="24"/>
              </w:rPr>
              <w:t>provides effective</w:t>
            </w:r>
            <w:r w:rsidR="00FE2AAD">
              <w:rPr>
                <w:rFonts w:ascii="Times New Roman" w:hAnsi="Times New Roman" w:cs="Times New Roman"/>
                <w:sz w:val="24"/>
                <w:szCs w:val="24"/>
              </w:rPr>
              <w:t xml:space="preserve"> pulpal and soft tissue anaesthesia ensuring satisfactory</w:t>
            </w:r>
            <w:r w:rsidR="00FE2AAD" w:rsidRPr="00FE2AAD">
              <w:rPr>
                <w:rFonts w:ascii="Times New Roman" w:hAnsi="Times New Roman" w:cs="Times New Roman"/>
                <w:sz w:val="24"/>
                <w:szCs w:val="24"/>
              </w:rPr>
              <w:t xml:space="preserve"> intraoperative pain control </w:t>
            </w:r>
          </w:p>
        </w:tc>
        <w:tc>
          <w:tcPr>
            <w:tcW w:w="1797" w:type="dxa"/>
          </w:tcPr>
          <w:p w14:paraId="3858D0E6" w14:textId="609EE48F" w:rsidR="00C91739" w:rsidRPr="00CC54C8" w:rsidRDefault="00FE2AAD">
            <w:pPr>
              <w:rPr>
                <w:rFonts w:ascii="Times New Roman" w:hAnsi="Times New Roman" w:cs="Times New Roman"/>
                <w:sz w:val="24"/>
                <w:szCs w:val="24"/>
              </w:rPr>
            </w:pPr>
            <w:r>
              <w:rPr>
                <w:rFonts w:ascii="Times New Roman" w:hAnsi="Times New Roman" w:cs="Times New Roman"/>
                <w:sz w:val="24"/>
                <w:szCs w:val="24"/>
              </w:rPr>
              <w:t>Yes</w:t>
            </w:r>
          </w:p>
        </w:tc>
        <w:tc>
          <w:tcPr>
            <w:tcW w:w="2436" w:type="dxa"/>
          </w:tcPr>
          <w:p w14:paraId="18583471" w14:textId="3869E3DF" w:rsidR="00C91739" w:rsidRPr="00CC54C8" w:rsidRDefault="00FE2AAD">
            <w:pPr>
              <w:rPr>
                <w:rFonts w:ascii="Times New Roman" w:hAnsi="Times New Roman" w:cs="Times New Roman"/>
                <w:sz w:val="24"/>
                <w:szCs w:val="24"/>
              </w:rPr>
            </w:pPr>
            <w:r>
              <w:rPr>
                <w:rFonts w:ascii="Times New Roman" w:hAnsi="Times New Roman" w:cs="Times New Roman"/>
                <w:sz w:val="24"/>
                <w:szCs w:val="24"/>
              </w:rPr>
              <w:t xml:space="preserve">Important is the choice of volume, it should be higher than 1 </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Duration and the intensity of the effect obtained seems to be increasing with the concentration used. </w:t>
            </w:r>
            <w:r w:rsidR="00D5609A">
              <w:rPr>
                <w:rFonts w:ascii="Times New Roman" w:hAnsi="Times New Roman" w:cs="Times New Roman"/>
                <w:sz w:val="24"/>
                <w:szCs w:val="24"/>
              </w:rPr>
              <w:t>Onset</w:t>
            </w:r>
            <w:r>
              <w:rPr>
                <w:rFonts w:ascii="Times New Roman" w:hAnsi="Times New Roman" w:cs="Times New Roman"/>
                <w:sz w:val="24"/>
                <w:szCs w:val="24"/>
              </w:rPr>
              <w:t xml:space="preserve"> of the action </w:t>
            </w:r>
            <w:r w:rsidR="00D5609A">
              <w:rPr>
                <w:rFonts w:ascii="Times New Roman" w:hAnsi="Times New Roman" w:cs="Times New Roman"/>
                <w:sz w:val="24"/>
                <w:szCs w:val="24"/>
              </w:rPr>
              <w:t>faster than that of bupivacaine,</w:t>
            </w:r>
            <w:r>
              <w:rPr>
                <w:rFonts w:ascii="Times New Roman" w:hAnsi="Times New Roman" w:cs="Times New Roman"/>
                <w:sz w:val="24"/>
                <w:szCs w:val="24"/>
              </w:rPr>
              <w:t xml:space="preserve"> long effect obtained. </w:t>
            </w:r>
          </w:p>
        </w:tc>
      </w:tr>
      <w:tr w:rsidR="00C91739" w:rsidRPr="00CC54C8" w14:paraId="076EF6A3" w14:textId="77777777" w:rsidTr="00C91739">
        <w:tc>
          <w:tcPr>
            <w:tcW w:w="2493" w:type="dxa"/>
          </w:tcPr>
          <w:p w14:paraId="38671A9D" w14:textId="13581791" w:rsidR="00C91739" w:rsidRPr="00CC54C8" w:rsidRDefault="00C91739">
            <w:pPr>
              <w:rPr>
                <w:rFonts w:ascii="Times New Roman" w:hAnsi="Times New Roman" w:cs="Times New Roman"/>
                <w:sz w:val="24"/>
                <w:szCs w:val="24"/>
              </w:rPr>
            </w:pPr>
            <w:proofErr w:type="spellStart"/>
            <w:r w:rsidRPr="00CC54C8">
              <w:rPr>
                <w:rFonts w:ascii="Times New Roman" w:hAnsi="Times New Roman" w:cs="Times New Roman"/>
                <w:sz w:val="24"/>
                <w:szCs w:val="24"/>
              </w:rPr>
              <w:t>Intraligamentary</w:t>
            </w:r>
            <w:proofErr w:type="spellEnd"/>
            <w:r w:rsidRPr="00CC54C8">
              <w:rPr>
                <w:rFonts w:ascii="Times New Roman" w:hAnsi="Times New Roman" w:cs="Times New Roman"/>
                <w:sz w:val="24"/>
                <w:szCs w:val="24"/>
              </w:rPr>
              <w:t xml:space="preserve"> anaesthesia</w:t>
            </w:r>
          </w:p>
        </w:tc>
        <w:tc>
          <w:tcPr>
            <w:tcW w:w="2336" w:type="dxa"/>
          </w:tcPr>
          <w:p w14:paraId="6674C95B" w14:textId="3D66FBF1" w:rsidR="00C91739" w:rsidRPr="00CC54C8" w:rsidRDefault="00FE2AAD">
            <w:pPr>
              <w:rPr>
                <w:rFonts w:ascii="Times New Roman" w:hAnsi="Times New Roman" w:cs="Times New Roman"/>
                <w:sz w:val="24"/>
                <w:szCs w:val="24"/>
              </w:rPr>
            </w:pPr>
            <w:r>
              <w:rPr>
                <w:rFonts w:ascii="Times New Roman" w:hAnsi="Times New Roman" w:cs="Times New Roman"/>
                <w:sz w:val="24"/>
                <w:szCs w:val="24"/>
              </w:rPr>
              <w:t xml:space="preserve">0.75% and 1% </w:t>
            </w:r>
            <w:r w:rsidR="00DB19D1">
              <w:rPr>
                <w:rFonts w:ascii="Times New Roman" w:hAnsi="Times New Roman" w:cs="Times New Roman"/>
                <w:sz w:val="24"/>
                <w:szCs w:val="24"/>
              </w:rPr>
              <w:t xml:space="preserve">ropivacaine </w:t>
            </w:r>
            <w:r>
              <w:rPr>
                <w:rFonts w:ascii="Times New Roman" w:hAnsi="Times New Roman" w:cs="Times New Roman"/>
                <w:sz w:val="24"/>
                <w:szCs w:val="24"/>
              </w:rPr>
              <w:t xml:space="preserve">brought insufficient and short anaesthesia of the </w:t>
            </w:r>
            <w:r>
              <w:rPr>
                <w:rFonts w:ascii="Times New Roman" w:hAnsi="Times New Roman" w:cs="Times New Roman"/>
                <w:sz w:val="24"/>
                <w:szCs w:val="24"/>
              </w:rPr>
              <w:lastRenderedPageBreak/>
              <w:t xml:space="preserve">pulp and adjacent soft tissues </w:t>
            </w:r>
          </w:p>
        </w:tc>
        <w:tc>
          <w:tcPr>
            <w:tcW w:w="1797" w:type="dxa"/>
          </w:tcPr>
          <w:p w14:paraId="018F2681" w14:textId="1F0E3DA5" w:rsidR="00C91739" w:rsidRPr="00CC54C8" w:rsidRDefault="00FE2AAD">
            <w:pPr>
              <w:rPr>
                <w:rFonts w:ascii="Times New Roman" w:hAnsi="Times New Roman" w:cs="Times New Roman"/>
                <w:sz w:val="24"/>
                <w:szCs w:val="24"/>
              </w:rPr>
            </w:pPr>
            <w:r>
              <w:rPr>
                <w:rFonts w:ascii="Times New Roman" w:hAnsi="Times New Roman" w:cs="Times New Roman"/>
                <w:sz w:val="24"/>
                <w:szCs w:val="24"/>
              </w:rPr>
              <w:lastRenderedPageBreak/>
              <w:t>No</w:t>
            </w:r>
          </w:p>
        </w:tc>
        <w:tc>
          <w:tcPr>
            <w:tcW w:w="2436" w:type="dxa"/>
          </w:tcPr>
          <w:p w14:paraId="295D9D79" w14:textId="22E28C25" w:rsidR="00C91739" w:rsidRPr="00CC54C8" w:rsidRDefault="00FE2AAD">
            <w:pPr>
              <w:rPr>
                <w:rFonts w:ascii="Times New Roman" w:hAnsi="Times New Roman" w:cs="Times New Roman"/>
                <w:sz w:val="24"/>
                <w:szCs w:val="24"/>
              </w:rPr>
            </w:pPr>
            <w:r>
              <w:rPr>
                <w:rFonts w:ascii="Times New Roman" w:hAnsi="Times New Roman" w:cs="Times New Roman"/>
                <w:sz w:val="24"/>
                <w:szCs w:val="24"/>
              </w:rPr>
              <w:t>The use of ropivacaine in periodontal ligament anaesthesia is not recommended.</w:t>
            </w:r>
          </w:p>
        </w:tc>
      </w:tr>
      <w:tr w:rsidR="00C91739" w:rsidRPr="00CC54C8" w14:paraId="5FF3DBAC" w14:textId="77777777" w:rsidTr="00C91739">
        <w:tc>
          <w:tcPr>
            <w:tcW w:w="2493" w:type="dxa"/>
          </w:tcPr>
          <w:p w14:paraId="17A64C82" w14:textId="72DA73C8"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t>Topical anaesthesia</w:t>
            </w:r>
          </w:p>
        </w:tc>
        <w:tc>
          <w:tcPr>
            <w:tcW w:w="2336" w:type="dxa"/>
          </w:tcPr>
          <w:p w14:paraId="61D1D08C" w14:textId="65D3F47A" w:rsidR="00C91739" w:rsidRPr="00CC54C8" w:rsidRDefault="00EB4581">
            <w:pPr>
              <w:rPr>
                <w:rFonts w:ascii="Times New Roman" w:hAnsi="Times New Roman" w:cs="Times New Roman"/>
                <w:sz w:val="24"/>
                <w:szCs w:val="24"/>
              </w:rPr>
            </w:pPr>
            <w:r>
              <w:rPr>
                <w:rFonts w:ascii="Times New Roman" w:hAnsi="Times New Roman" w:cs="Times New Roman"/>
                <w:sz w:val="24"/>
                <w:szCs w:val="24"/>
              </w:rPr>
              <w:t xml:space="preserve">Cotton swabs soaked with 1% solution, 1% and 2% liposomal ropivacaine gel </w:t>
            </w:r>
            <w:r w:rsidR="004D4F77">
              <w:rPr>
                <w:rFonts w:ascii="Times New Roman" w:hAnsi="Times New Roman" w:cs="Times New Roman"/>
                <w:sz w:val="24"/>
                <w:szCs w:val="24"/>
              </w:rPr>
              <w:t>were sufficient in oral mucosa (but not in the region of hard palate)</w:t>
            </w:r>
          </w:p>
        </w:tc>
        <w:tc>
          <w:tcPr>
            <w:tcW w:w="1797" w:type="dxa"/>
          </w:tcPr>
          <w:p w14:paraId="792BDB9A" w14:textId="413DA34D" w:rsidR="00C91739" w:rsidRPr="00CC54C8" w:rsidRDefault="00EB4581">
            <w:pPr>
              <w:rPr>
                <w:rFonts w:ascii="Times New Roman" w:hAnsi="Times New Roman" w:cs="Times New Roman"/>
                <w:sz w:val="24"/>
                <w:szCs w:val="24"/>
              </w:rPr>
            </w:pPr>
            <w:r>
              <w:rPr>
                <w:rFonts w:ascii="Times New Roman" w:hAnsi="Times New Roman" w:cs="Times New Roman"/>
                <w:sz w:val="24"/>
                <w:szCs w:val="24"/>
              </w:rPr>
              <w:t xml:space="preserve">Yes </w:t>
            </w:r>
            <w:r w:rsidRPr="00DB19D1">
              <w:rPr>
                <w:rFonts w:ascii="Times New Roman" w:hAnsi="Times New Roman" w:cs="Times New Roman"/>
                <w:i/>
                <w:iCs/>
                <w:sz w:val="24"/>
                <w:szCs w:val="24"/>
              </w:rPr>
              <w:t>(but further research is needed)</w:t>
            </w:r>
          </w:p>
        </w:tc>
        <w:tc>
          <w:tcPr>
            <w:tcW w:w="2436" w:type="dxa"/>
          </w:tcPr>
          <w:p w14:paraId="493A62FA" w14:textId="31901DE7" w:rsidR="00C91739" w:rsidRPr="00CC54C8" w:rsidRDefault="00EB4581">
            <w:pPr>
              <w:rPr>
                <w:rFonts w:ascii="Times New Roman" w:hAnsi="Times New Roman" w:cs="Times New Roman"/>
                <w:sz w:val="24"/>
                <w:szCs w:val="24"/>
              </w:rPr>
            </w:pPr>
            <w:r>
              <w:rPr>
                <w:rFonts w:ascii="Times New Roman" w:hAnsi="Times New Roman" w:cs="Times New Roman"/>
                <w:sz w:val="24"/>
                <w:szCs w:val="24"/>
              </w:rPr>
              <w:t>Direct topical application swabs soaked with 1% ropivacaine solution as symptomatic measure in painful conditions of oral mucosa</w:t>
            </w:r>
            <w:r w:rsidR="008B2054">
              <w:rPr>
                <w:rFonts w:ascii="Times New Roman" w:hAnsi="Times New Roman" w:cs="Times New Roman"/>
                <w:sz w:val="24"/>
                <w:szCs w:val="24"/>
              </w:rPr>
              <w:t xml:space="preserve">. Caution should be paid regarding possible systemic absorption of the drug through lesions. </w:t>
            </w:r>
            <w:r>
              <w:rPr>
                <w:rFonts w:ascii="Times New Roman" w:hAnsi="Times New Roman" w:cs="Times New Roman"/>
                <w:sz w:val="24"/>
                <w:szCs w:val="24"/>
              </w:rPr>
              <w:t>Experimental liposomal ropivacaine gels (1% and 2% concentration) were</w:t>
            </w:r>
            <w:r w:rsidR="008B2054">
              <w:rPr>
                <w:rFonts w:ascii="Times New Roman" w:hAnsi="Times New Roman" w:cs="Times New Roman"/>
                <w:sz w:val="24"/>
                <w:szCs w:val="24"/>
              </w:rPr>
              <w:t xml:space="preserve"> proven effective in oral vestibule but not in palatal mucosa.</w:t>
            </w:r>
          </w:p>
        </w:tc>
      </w:tr>
      <w:tr w:rsidR="00C91739" w:rsidRPr="00CC54C8" w14:paraId="3FA33B64" w14:textId="77777777" w:rsidTr="00C91739">
        <w:tc>
          <w:tcPr>
            <w:tcW w:w="2493" w:type="dxa"/>
          </w:tcPr>
          <w:p w14:paraId="6DD89FDE" w14:textId="77E78657"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t>Postprocedural pain management in oral surgery</w:t>
            </w:r>
          </w:p>
        </w:tc>
        <w:tc>
          <w:tcPr>
            <w:tcW w:w="2336" w:type="dxa"/>
          </w:tcPr>
          <w:p w14:paraId="2A7A0A2D" w14:textId="5D7A8477" w:rsidR="00C91739" w:rsidRPr="00CC54C8" w:rsidRDefault="00701EEA">
            <w:pPr>
              <w:rPr>
                <w:rFonts w:ascii="Times New Roman" w:hAnsi="Times New Roman" w:cs="Times New Roman"/>
                <w:sz w:val="24"/>
                <w:szCs w:val="24"/>
              </w:rPr>
            </w:pPr>
            <w:r>
              <w:rPr>
                <w:rFonts w:ascii="Times New Roman" w:hAnsi="Times New Roman" w:cs="Times New Roman"/>
                <w:sz w:val="24"/>
                <w:szCs w:val="24"/>
              </w:rPr>
              <w:t>0.5%, 0.75% and 1% ropivacaine employed as additional blocks or as a sole mean of anaesthesia</w:t>
            </w:r>
            <w:r w:rsidR="004D4F77">
              <w:rPr>
                <w:rFonts w:ascii="Times New Roman" w:hAnsi="Times New Roman" w:cs="Times New Roman"/>
                <w:sz w:val="24"/>
                <w:szCs w:val="24"/>
              </w:rPr>
              <w:t xml:space="preserve"> exert action that can be beneficial in the post-operative pain control, although the results are unequivocal</w:t>
            </w:r>
          </w:p>
        </w:tc>
        <w:tc>
          <w:tcPr>
            <w:tcW w:w="1797" w:type="dxa"/>
          </w:tcPr>
          <w:p w14:paraId="491E3C59" w14:textId="0EA3B581" w:rsidR="00C91739" w:rsidRPr="00CC54C8" w:rsidRDefault="00967C48">
            <w:pPr>
              <w:rPr>
                <w:rFonts w:ascii="Times New Roman" w:hAnsi="Times New Roman" w:cs="Times New Roman"/>
                <w:sz w:val="24"/>
                <w:szCs w:val="24"/>
              </w:rPr>
            </w:pPr>
            <w:r>
              <w:rPr>
                <w:rFonts w:ascii="Times New Roman" w:hAnsi="Times New Roman" w:cs="Times New Roman"/>
                <w:sz w:val="24"/>
                <w:szCs w:val="24"/>
              </w:rPr>
              <w:t>Yes</w:t>
            </w:r>
            <w:r w:rsidR="008543BE">
              <w:rPr>
                <w:rFonts w:ascii="Times New Roman" w:hAnsi="Times New Roman" w:cs="Times New Roman"/>
                <w:sz w:val="24"/>
                <w:szCs w:val="24"/>
              </w:rPr>
              <w:t xml:space="preserve"> </w:t>
            </w:r>
            <w:r w:rsidR="008543BE" w:rsidRPr="00DB19D1">
              <w:rPr>
                <w:rFonts w:ascii="Times New Roman" w:hAnsi="Times New Roman" w:cs="Times New Roman"/>
                <w:i/>
                <w:iCs/>
                <w:sz w:val="24"/>
                <w:szCs w:val="24"/>
              </w:rPr>
              <w:t>(but further research is needed)</w:t>
            </w:r>
          </w:p>
        </w:tc>
        <w:tc>
          <w:tcPr>
            <w:tcW w:w="2436" w:type="dxa"/>
          </w:tcPr>
          <w:p w14:paraId="26E52402" w14:textId="51184C52" w:rsidR="00C91739" w:rsidRPr="00CC54C8" w:rsidRDefault="00967C48">
            <w:pPr>
              <w:rPr>
                <w:rFonts w:ascii="Times New Roman" w:hAnsi="Times New Roman" w:cs="Times New Roman"/>
                <w:sz w:val="24"/>
                <w:szCs w:val="24"/>
              </w:rPr>
            </w:pPr>
            <w:r>
              <w:rPr>
                <w:rFonts w:ascii="Times New Roman" w:hAnsi="Times New Roman" w:cs="Times New Roman"/>
                <w:sz w:val="24"/>
                <w:szCs w:val="24"/>
              </w:rPr>
              <w:t>IANB and infiltration with 0.5 and 0.75% ropivacaine were proven to be effective in post-procedural pain management for oral surgery performed in GA. Post</w:t>
            </w:r>
            <w:r w:rsidR="00701EEA">
              <w:rPr>
                <w:rFonts w:ascii="Times New Roman" w:hAnsi="Times New Roman" w:cs="Times New Roman"/>
                <w:sz w:val="24"/>
                <w:szCs w:val="24"/>
              </w:rPr>
              <w:t>p</w:t>
            </w:r>
            <w:r>
              <w:rPr>
                <w:rFonts w:ascii="Times New Roman" w:hAnsi="Times New Roman" w:cs="Times New Roman"/>
                <w:sz w:val="24"/>
                <w:szCs w:val="24"/>
              </w:rPr>
              <w:t xml:space="preserve">rocedural pain control was possible </w:t>
            </w:r>
            <w:r w:rsidR="0067687C">
              <w:rPr>
                <w:rFonts w:ascii="Times New Roman" w:hAnsi="Times New Roman" w:cs="Times New Roman"/>
                <w:sz w:val="24"/>
                <w:szCs w:val="24"/>
              </w:rPr>
              <w:t xml:space="preserve">when 0.5 and 0.75% ropivacaine was used as anaesthetic in IANB. However regarding ropivacaine used in infiltration anaesthesia – the results from the trials are unequivocal. Topical 1% ropivacaine (application of swab soaked </w:t>
            </w:r>
            <w:r w:rsidR="008543BE">
              <w:rPr>
                <w:rFonts w:ascii="Times New Roman" w:hAnsi="Times New Roman" w:cs="Times New Roman"/>
                <w:sz w:val="24"/>
                <w:szCs w:val="24"/>
              </w:rPr>
              <w:t xml:space="preserve">with the drug’s solution) was proven effective in postprocedural pain management in ENT surgery, what encourages to similar trials in oral surgery, </w:t>
            </w:r>
            <w:r w:rsidR="008543BE">
              <w:rPr>
                <w:rFonts w:ascii="Times New Roman" w:hAnsi="Times New Roman" w:cs="Times New Roman"/>
                <w:sz w:val="24"/>
                <w:szCs w:val="24"/>
              </w:rPr>
              <w:lastRenderedPageBreak/>
              <w:t>especially after extraction.</w:t>
            </w:r>
          </w:p>
        </w:tc>
      </w:tr>
      <w:tr w:rsidR="00C91739" w:rsidRPr="00CC54C8" w14:paraId="2C932875" w14:textId="77777777" w:rsidTr="00C91739">
        <w:tc>
          <w:tcPr>
            <w:tcW w:w="2493" w:type="dxa"/>
          </w:tcPr>
          <w:p w14:paraId="3CB0B723" w14:textId="215058F4" w:rsidR="00C91739" w:rsidRPr="00CC54C8" w:rsidRDefault="00C91739">
            <w:pPr>
              <w:rPr>
                <w:rFonts w:ascii="Times New Roman" w:hAnsi="Times New Roman" w:cs="Times New Roman"/>
                <w:sz w:val="24"/>
                <w:szCs w:val="24"/>
              </w:rPr>
            </w:pPr>
            <w:r w:rsidRPr="00CC54C8">
              <w:rPr>
                <w:rFonts w:ascii="Times New Roman" w:hAnsi="Times New Roman" w:cs="Times New Roman"/>
                <w:sz w:val="24"/>
                <w:szCs w:val="24"/>
              </w:rPr>
              <w:lastRenderedPageBreak/>
              <w:t>Nerve blockade in trigeminal neuralgia</w:t>
            </w:r>
          </w:p>
        </w:tc>
        <w:tc>
          <w:tcPr>
            <w:tcW w:w="2336" w:type="dxa"/>
          </w:tcPr>
          <w:p w14:paraId="626E8936" w14:textId="79A4E92F" w:rsidR="00C91739" w:rsidRPr="00CC54C8" w:rsidRDefault="004D4F77">
            <w:pPr>
              <w:rPr>
                <w:rFonts w:ascii="Times New Roman" w:hAnsi="Times New Roman" w:cs="Times New Roman"/>
                <w:sz w:val="24"/>
                <w:szCs w:val="24"/>
              </w:rPr>
            </w:pPr>
            <w:r>
              <w:rPr>
                <w:rFonts w:ascii="Times New Roman" w:hAnsi="Times New Roman" w:cs="Times New Roman"/>
                <w:sz w:val="24"/>
                <w:szCs w:val="24"/>
              </w:rPr>
              <w:t>Ropivacaine in concentration 0.25-0.75% used in peripheral blocks in the trigger zones</w:t>
            </w:r>
          </w:p>
        </w:tc>
        <w:tc>
          <w:tcPr>
            <w:tcW w:w="1797" w:type="dxa"/>
          </w:tcPr>
          <w:p w14:paraId="56C589E3" w14:textId="41E54B4C" w:rsidR="00C91739" w:rsidRPr="00CC54C8" w:rsidRDefault="004D4F77">
            <w:pPr>
              <w:rPr>
                <w:rFonts w:ascii="Times New Roman" w:hAnsi="Times New Roman" w:cs="Times New Roman"/>
                <w:sz w:val="24"/>
                <w:szCs w:val="24"/>
              </w:rPr>
            </w:pPr>
            <w:r>
              <w:rPr>
                <w:rFonts w:ascii="Times New Roman" w:hAnsi="Times New Roman" w:cs="Times New Roman"/>
                <w:sz w:val="24"/>
                <w:szCs w:val="24"/>
              </w:rPr>
              <w:t>Yes</w:t>
            </w:r>
          </w:p>
        </w:tc>
        <w:tc>
          <w:tcPr>
            <w:tcW w:w="2436" w:type="dxa"/>
          </w:tcPr>
          <w:p w14:paraId="4592D21B" w14:textId="3BA6E693" w:rsidR="00C91739" w:rsidRPr="00CC54C8" w:rsidRDefault="00DB19D1">
            <w:pPr>
              <w:rPr>
                <w:rFonts w:ascii="Times New Roman" w:hAnsi="Times New Roman" w:cs="Times New Roman"/>
                <w:sz w:val="24"/>
                <w:szCs w:val="24"/>
              </w:rPr>
            </w:pPr>
            <w:r w:rsidRPr="00DB19D1">
              <w:rPr>
                <w:rFonts w:ascii="Times New Roman" w:hAnsi="Times New Roman" w:cs="Times New Roman"/>
                <w:i/>
                <w:iCs/>
                <w:sz w:val="24"/>
                <w:szCs w:val="24"/>
              </w:rPr>
              <w:t>(</w:t>
            </w:r>
            <w:r w:rsidR="00274A47" w:rsidRPr="00DB19D1">
              <w:rPr>
                <w:rFonts w:ascii="Times New Roman" w:hAnsi="Times New Roman" w:cs="Times New Roman"/>
                <w:i/>
                <w:iCs/>
                <w:sz w:val="24"/>
                <w:szCs w:val="24"/>
              </w:rPr>
              <w:t xml:space="preserve">Note, that </w:t>
            </w:r>
            <w:r w:rsidR="00826971" w:rsidRPr="00DB19D1">
              <w:rPr>
                <w:rFonts w:ascii="Times New Roman" w:hAnsi="Times New Roman" w:cs="Times New Roman"/>
                <w:i/>
                <w:iCs/>
                <w:sz w:val="24"/>
                <w:szCs w:val="24"/>
              </w:rPr>
              <w:t>Patients with TN should be referred to a neurology specialist</w:t>
            </w:r>
            <w:r w:rsidRPr="00DB19D1">
              <w:rPr>
                <w:rFonts w:ascii="Times New Roman" w:hAnsi="Times New Roman" w:cs="Times New Roman"/>
                <w:i/>
                <w:iCs/>
                <w:sz w:val="24"/>
                <w:szCs w:val="24"/>
              </w:rPr>
              <w:t>).</w:t>
            </w:r>
            <w:r>
              <w:rPr>
                <w:rFonts w:ascii="Times New Roman" w:hAnsi="Times New Roman" w:cs="Times New Roman"/>
                <w:sz w:val="24"/>
                <w:szCs w:val="24"/>
              </w:rPr>
              <w:t xml:space="preserve"> </w:t>
            </w:r>
            <w:r w:rsidR="00826971">
              <w:rPr>
                <w:rFonts w:ascii="Times New Roman" w:hAnsi="Times New Roman" w:cs="Times New Roman"/>
                <w:sz w:val="24"/>
                <w:szCs w:val="24"/>
              </w:rPr>
              <w:t xml:space="preserve"> </w:t>
            </w:r>
            <w:r w:rsidR="004D4F77">
              <w:rPr>
                <w:rFonts w:ascii="Times New Roman" w:hAnsi="Times New Roman" w:cs="Times New Roman"/>
                <w:sz w:val="24"/>
                <w:szCs w:val="24"/>
              </w:rPr>
              <w:t xml:space="preserve">Solutions used as </w:t>
            </w:r>
            <w:r w:rsidR="004D4F77" w:rsidRPr="004D4F77">
              <w:rPr>
                <w:rFonts w:ascii="Times New Roman" w:hAnsi="Times New Roman" w:cs="Times New Roman"/>
                <w:sz w:val="24"/>
                <w:szCs w:val="24"/>
              </w:rPr>
              <w:t xml:space="preserve">peripheral blocks in the trigger zones </w:t>
            </w:r>
            <w:r w:rsidR="004D4F77">
              <w:rPr>
                <w:rFonts w:ascii="Times New Roman" w:hAnsi="Times New Roman" w:cs="Times New Roman"/>
                <w:sz w:val="24"/>
                <w:szCs w:val="24"/>
              </w:rPr>
              <w:t xml:space="preserve">by infiltration, topically (intranasal administration for </w:t>
            </w:r>
            <w:r w:rsidR="004D4F77" w:rsidRPr="004D4F77">
              <w:rPr>
                <w:rFonts w:ascii="Times New Roman" w:hAnsi="Times New Roman" w:cs="Times New Roman"/>
                <w:sz w:val="24"/>
                <w:szCs w:val="24"/>
              </w:rPr>
              <w:t>sphenopalatine ganglion</w:t>
            </w:r>
            <w:r w:rsidR="004D4F77">
              <w:rPr>
                <w:rFonts w:ascii="Times New Roman" w:hAnsi="Times New Roman" w:cs="Times New Roman"/>
                <w:sz w:val="24"/>
                <w:szCs w:val="24"/>
              </w:rPr>
              <w:t xml:space="preserve"> block) were effective in TN pain management. The better results, however, were obtained when peripheral block with ropivacaine were combined with low doses of oral anticonvulsants (gabapentin or carbamazepine).</w:t>
            </w:r>
          </w:p>
        </w:tc>
      </w:tr>
    </w:tbl>
    <w:p w14:paraId="418EC23A" w14:textId="6D9239E5" w:rsidR="00977ED9" w:rsidRPr="00826971" w:rsidRDefault="00826971">
      <w:pPr>
        <w:rPr>
          <w:rFonts w:ascii="Times New Roman" w:hAnsi="Times New Roman" w:cs="Times New Roman"/>
          <w:i/>
          <w:iCs/>
          <w:sz w:val="24"/>
          <w:szCs w:val="24"/>
        </w:rPr>
      </w:pPr>
      <w:r w:rsidRPr="00826971">
        <w:rPr>
          <w:rFonts w:ascii="Times New Roman" w:hAnsi="Times New Roman" w:cs="Times New Roman"/>
          <w:i/>
          <w:iCs/>
          <w:sz w:val="24"/>
          <w:szCs w:val="24"/>
        </w:rPr>
        <w:t>ENT surgery – ear, nose, throat surgery; GA – general anaesthesia; IANB – inferior alveolar nerve block; TN – trigeminal neuralgia</w:t>
      </w:r>
    </w:p>
    <w:sectPr w:rsidR="00977ED9" w:rsidRPr="00826971" w:rsidSect="009E1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D9"/>
    <w:rsid w:val="00274A47"/>
    <w:rsid w:val="00370824"/>
    <w:rsid w:val="003C3E33"/>
    <w:rsid w:val="004566CB"/>
    <w:rsid w:val="004D4F77"/>
    <w:rsid w:val="006449DB"/>
    <w:rsid w:val="0067687C"/>
    <w:rsid w:val="00701EEA"/>
    <w:rsid w:val="007D52EE"/>
    <w:rsid w:val="00826971"/>
    <w:rsid w:val="008543BE"/>
    <w:rsid w:val="00873F92"/>
    <w:rsid w:val="008B2054"/>
    <w:rsid w:val="00967C48"/>
    <w:rsid w:val="00977ED9"/>
    <w:rsid w:val="009E197B"/>
    <w:rsid w:val="00A530E6"/>
    <w:rsid w:val="00B472ED"/>
    <w:rsid w:val="00B80926"/>
    <w:rsid w:val="00C91739"/>
    <w:rsid w:val="00C9417C"/>
    <w:rsid w:val="00CC4EE7"/>
    <w:rsid w:val="00CC54C8"/>
    <w:rsid w:val="00D5609A"/>
    <w:rsid w:val="00DB19D1"/>
    <w:rsid w:val="00E05396"/>
    <w:rsid w:val="00E1560C"/>
    <w:rsid w:val="00E821B5"/>
    <w:rsid w:val="00EB4581"/>
    <w:rsid w:val="00F860E9"/>
    <w:rsid w:val="00FE2AA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37A"/>
  <w15:chartTrackingRefBased/>
  <w15:docId w15:val="{46FCA96F-D075-4009-A30B-2DED20AE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7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566</Words>
  <Characters>3228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Pasternak</dc:creator>
  <cp:keywords/>
  <dc:description/>
  <cp:lastModifiedBy>Marcin Pasternak</cp:lastModifiedBy>
  <cp:revision>15</cp:revision>
  <dcterms:created xsi:type="dcterms:W3CDTF">2024-03-04T16:26:00Z</dcterms:created>
  <dcterms:modified xsi:type="dcterms:W3CDTF">2024-03-30T14:55:00Z</dcterms:modified>
</cp:coreProperties>
</file>