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A9A1" w14:textId="77777777" w:rsidR="0046429D" w:rsidRDefault="0046429D" w:rsidP="00D601AB">
      <w:pPr>
        <w:spacing w:line="360" w:lineRule="auto"/>
        <w:ind w:firstLine="708"/>
        <w:jc w:val="center"/>
        <w:rPr>
          <w:rFonts w:ascii="Times New Roman" w:hAnsi="Times New Roman" w:cs="Times New Roman"/>
          <w:b/>
          <w:bCs/>
          <w:sz w:val="24"/>
          <w:szCs w:val="24"/>
        </w:rPr>
      </w:pPr>
      <w:r w:rsidRPr="00D601AB">
        <w:rPr>
          <w:rFonts w:ascii="Times New Roman" w:hAnsi="Times New Roman" w:cs="Times New Roman"/>
          <w:b/>
          <w:bCs/>
          <w:sz w:val="24"/>
          <w:szCs w:val="24"/>
        </w:rPr>
        <w:t>Database evaluation of paracetamol levels in a toxicology laboratory in Toruń, Poland, 2018-2022</w:t>
      </w:r>
    </w:p>
    <w:p w14:paraId="4E00C9C5" w14:textId="5E15BF02" w:rsidR="006B5106" w:rsidRPr="006B5106" w:rsidRDefault="006B5106" w:rsidP="00D601AB">
      <w:pPr>
        <w:spacing w:line="360" w:lineRule="auto"/>
        <w:ind w:firstLine="708"/>
        <w:jc w:val="center"/>
        <w:rPr>
          <w:rFonts w:ascii="Times New Roman" w:hAnsi="Times New Roman" w:cs="Times New Roman"/>
          <w:vertAlign w:val="superscript"/>
        </w:rPr>
      </w:pPr>
      <w:r w:rsidRPr="006B5106">
        <w:rPr>
          <w:rFonts w:ascii="Times New Roman" w:hAnsi="Times New Roman" w:cs="Times New Roman"/>
        </w:rPr>
        <w:t>Aleksandra Maria Meger</w:t>
      </w:r>
      <w:r w:rsidRPr="006B5106">
        <w:rPr>
          <w:rFonts w:ascii="Times New Roman" w:hAnsi="Times New Roman" w:cs="Times New Roman"/>
          <w:vertAlign w:val="superscript"/>
        </w:rPr>
        <w:sym w:font="Wingdings" w:char="F02A"/>
      </w:r>
      <w:r w:rsidRPr="006B5106">
        <w:rPr>
          <w:rFonts w:ascii="Times New Roman" w:hAnsi="Times New Roman" w:cs="Times New Roman"/>
          <w:vertAlign w:val="superscript"/>
        </w:rPr>
        <w:t>1</w:t>
      </w:r>
      <w:r w:rsidRPr="006B5106">
        <w:rPr>
          <w:rFonts w:ascii="Times New Roman" w:hAnsi="Times New Roman" w:cs="Times New Roman"/>
        </w:rPr>
        <w:t>, Urszula Korbal (ORCID 0000000302474202)</w:t>
      </w:r>
      <w:r w:rsidRPr="006B5106">
        <w:rPr>
          <w:rFonts w:ascii="Times New Roman" w:hAnsi="Times New Roman" w:cs="Times New Roman"/>
          <w:vertAlign w:val="superscript"/>
        </w:rPr>
        <w:t>1</w:t>
      </w:r>
      <w:r w:rsidRPr="006B5106">
        <w:rPr>
          <w:rFonts w:ascii="Times New Roman" w:hAnsi="Times New Roman" w:cs="Times New Roman"/>
        </w:rPr>
        <w:t>, Joanna Ledwolorz</w:t>
      </w:r>
      <w:r w:rsidRPr="006B5106">
        <w:rPr>
          <w:rFonts w:ascii="Times New Roman" w:hAnsi="Times New Roman" w:cs="Times New Roman"/>
          <w:vertAlign w:val="superscript"/>
        </w:rPr>
        <w:t>1</w:t>
      </w:r>
      <w:r w:rsidRPr="006B5106">
        <w:rPr>
          <w:rFonts w:ascii="Times New Roman" w:hAnsi="Times New Roman" w:cs="Times New Roman"/>
        </w:rPr>
        <w:t>, Agnieszka Ewa Szymańska</w:t>
      </w:r>
      <w:r w:rsidRPr="006B5106">
        <w:rPr>
          <w:rFonts w:ascii="Times New Roman" w:hAnsi="Times New Roman" w:cs="Times New Roman"/>
          <w:vertAlign w:val="superscript"/>
        </w:rPr>
        <w:t>1</w:t>
      </w:r>
      <w:r w:rsidRPr="006B5106">
        <w:rPr>
          <w:rFonts w:ascii="Times New Roman" w:hAnsi="Times New Roman" w:cs="Times New Roman"/>
        </w:rPr>
        <w:t>, Paweł Tomasz Korbal</w:t>
      </w:r>
      <w:r w:rsidRPr="006B5106">
        <w:rPr>
          <w:rFonts w:ascii="Times New Roman" w:hAnsi="Times New Roman" w:cs="Times New Roman"/>
          <w:vertAlign w:val="superscript"/>
        </w:rPr>
        <w:t>2</w:t>
      </w:r>
    </w:p>
    <w:p w14:paraId="33191C26" w14:textId="0F90C802" w:rsidR="006B5106" w:rsidRPr="006B5106" w:rsidRDefault="006B5106" w:rsidP="00D601AB">
      <w:pPr>
        <w:spacing w:line="360" w:lineRule="auto"/>
        <w:ind w:firstLine="708"/>
        <w:jc w:val="center"/>
        <w:rPr>
          <w:rFonts w:ascii="Times New Roman" w:hAnsi="Times New Roman" w:cs="Times New Roman"/>
        </w:rPr>
      </w:pPr>
      <w:r w:rsidRPr="006B5106">
        <w:rPr>
          <w:rFonts w:ascii="Times New Roman" w:hAnsi="Times New Roman" w:cs="Times New Roman"/>
          <w:vertAlign w:val="superscript"/>
        </w:rPr>
        <w:t>1</w:t>
      </w:r>
      <w:r w:rsidRPr="006B5106">
        <w:rPr>
          <w:rFonts w:ascii="Times New Roman" w:hAnsi="Times New Roman" w:cs="Times New Roman"/>
        </w:rPr>
        <w:t>Wojewódzki Szpital Zespolony im. Ludwika Rydygiera w Toruniu, Zakład Diagnostyki Laboratoryjnej, Pracownia Toksykologii</w:t>
      </w:r>
    </w:p>
    <w:p w14:paraId="33280D49" w14:textId="5F616B4E" w:rsidR="006B5106" w:rsidRDefault="006B5106" w:rsidP="00D601AB">
      <w:pPr>
        <w:spacing w:line="360" w:lineRule="auto"/>
        <w:ind w:firstLine="708"/>
        <w:jc w:val="center"/>
        <w:rPr>
          <w:rFonts w:ascii="Times New Roman" w:hAnsi="Times New Roman" w:cs="Times New Roman"/>
        </w:rPr>
      </w:pPr>
      <w:r w:rsidRPr="006B5106">
        <w:rPr>
          <w:rFonts w:ascii="Times New Roman" w:hAnsi="Times New Roman" w:cs="Times New Roman"/>
          <w:vertAlign w:val="superscript"/>
        </w:rPr>
        <w:t>2</w:t>
      </w:r>
      <w:r w:rsidRPr="006B5106">
        <w:rPr>
          <w:rFonts w:ascii="Times New Roman" w:hAnsi="Times New Roman" w:cs="Times New Roman"/>
        </w:rPr>
        <w:t>Praktyka Lekarska Paweł Korbal</w:t>
      </w:r>
      <w:r w:rsidR="004D46D0">
        <w:rPr>
          <w:rFonts w:ascii="Times New Roman" w:hAnsi="Times New Roman" w:cs="Times New Roman"/>
        </w:rPr>
        <w:t>,</w:t>
      </w:r>
      <w:r w:rsidRPr="006B5106">
        <w:rPr>
          <w:rFonts w:ascii="Times New Roman" w:hAnsi="Times New Roman" w:cs="Times New Roman"/>
        </w:rPr>
        <w:t xml:space="preserve"> Bydgoszcz</w:t>
      </w:r>
    </w:p>
    <w:p w14:paraId="3D2F06EC" w14:textId="4C4587B5" w:rsidR="004D46D0" w:rsidRPr="004D46D0" w:rsidRDefault="004D46D0" w:rsidP="00D601AB">
      <w:pPr>
        <w:spacing w:line="360" w:lineRule="auto"/>
        <w:ind w:firstLine="708"/>
        <w:jc w:val="center"/>
        <w:rPr>
          <w:rFonts w:ascii="Times New Roman" w:hAnsi="Times New Roman" w:cs="Times New Roman"/>
        </w:rPr>
      </w:pPr>
      <w:r w:rsidRPr="006B5106">
        <w:rPr>
          <w:rFonts w:ascii="Times New Roman" w:hAnsi="Times New Roman" w:cs="Times New Roman"/>
          <w:vertAlign w:val="superscript"/>
        </w:rPr>
        <w:sym w:font="Wingdings" w:char="F02A"/>
      </w:r>
      <w:r>
        <w:rPr>
          <w:rFonts w:ascii="Times New Roman" w:hAnsi="Times New Roman" w:cs="Times New Roman"/>
        </w:rPr>
        <w:t>aleksandrameger95@gmail.com</w:t>
      </w:r>
    </w:p>
    <w:p w14:paraId="6901311A" w14:textId="7BA6F748" w:rsidR="00BD27C5" w:rsidRDefault="00BD27C5" w:rsidP="00BD27C5">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06EA49BD" w14:textId="65C614CE" w:rsidR="00287E5A" w:rsidRDefault="00287E5A" w:rsidP="00287E5A">
      <w:pPr>
        <w:spacing w:line="360" w:lineRule="auto"/>
        <w:ind w:firstLine="708"/>
        <w:jc w:val="both"/>
        <w:rPr>
          <w:rFonts w:ascii="Times New Roman" w:hAnsi="Times New Roman" w:cs="Times New Roman"/>
          <w:sz w:val="24"/>
          <w:szCs w:val="24"/>
          <w:lang w:val="en-GB"/>
        </w:rPr>
      </w:pPr>
      <w:r w:rsidRPr="002A7A12">
        <w:rPr>
          <w:rFonts w:ascii="Times New Roman" w:hAnsi="Times New Roman" w:cs="Times New Roman"/>
          <w:sz w:val="24"/>
          <w:szCs w:val="24"/>
          <w:lang w:val="en-GB"/>
        </w:rPr>
        <w:t>Paracetamol is a commonly used and easily accessible drug with antipyretic and analgesic properties. Its overdose leads to severe liver failure. In diagnostic procedures, an important role is played by</w:t>
      </w:r>
      <w:r>
        <w:rPr>
          <w:rFonts w:ascii="Times New Roman" w:hAnsi="Times New Roman" w:cs="Times New Roman"/>
          <w:sz w:val="24"/>
          <w:szCs w:val="24"/>
          <w:lang w:val="en-GB"/>
        </w:rPr>
        <w:t xml:space="preserve"> the</w:t>
      </w:r>
      <w:r w:rsidRPr="002A7A12">
        <w:rPr>
          <w:rFonts w:ascii="Times New Roman" w:hAnsi="Times New Roman" w:cs="Times New Roman"/>
          <w:sz w:val="24"/>
          <w:szCs w:val="24"/>
          <w:lang w:val="en-GB"/>
        </w:rPr>
        <w:t xml:space="preserve"> determination of paracetamol concentration in the blood, which not only confirms poisoning</w:t>
      </w:r>
      <w:r>
        <w:rPr>
          <w:rFonts w:ascii="Times New Roman" w:hAnsi="Times New Roman" w:cs="Times New Roman"/>
          <w:sz w:val="24"/>
          <w:szCs w:val="24"/>
          <w:lang w:val="en-GB"/>
        </w:rPr>
        <w:t xml:space="preserve">, </w:t>
      </w:r>
      <w:r w:rsidRPr="002A7A12">
        <w:rPr>
          <w:rFonts w:ascii="Times New Roman" w:hAnsi="Times New Roman" w:cs="Times New Roman"/>
          <w:sz w:val="24"/>
          <w:szCs w:val="24"/>
          <w:lang w:val="en-GB"/>
        </w:rPr>
        <w:t>but</w:t>
      </w:r>
      <w:r>
        <w:rPr>
          <w:rFonts w:ascii="Times New Roman" w:hAnsi="Times New Roman" w:cs="Times New Roman"/>
          <w:sz w:val="24"/>
          <w:szCs w:val="24"/>
          <w:lang w:val="en-GB"/>
        </w:rPr>
        <w:t xml:space="preserve"> also</w:t>
      </w:r>
      <w:r w:rsidRPr="002A7A12">
        <w:rPr>
          <w:rFonts w:ascii="Times New Roman" w:hAnsi="Times New Roman" w:cs="Times New Roman"/>
          <w:sz w:val="24"/>
          <w:szCs w:val="24"/>
          <w:lang w:val="en-GB"/>
        </w:rPr>
        <w:t xml:space="preserve"> helps with assessing the risk of hepatotoxicity. The aim of this study was a statistical analysis of paracetamol concentration tests performed in Toxicology Laboratory of Wojewódzki Szpital Zespolony </w:t>
      </w:r>
      <w:r>
        <w:rPr>
          <w:rFonts w:ascii="Times New Roman" w:hAnsi="Times New Roman" w:cs="Times New Roman"/>
          <w:sz w:val="24"/>
          <w:szCs w:val="24"/>
          <w:lang w:val="en-GB"/>
        </w:rPr>
        <w:t>in Toru</w:t>
      </w:r>
      <w:r w:rsidRPr="00155238">
        <w:rPr>
          <w:rFonts w:ascii="Times New Roman" w:hAnsi="Times New Roman" w:cs="Times New Roman"/>
          <w:sz w:val="24"/>
          <w:szCs w:val="24"/>
          <w:lang w:val="en-GB"/>
        </w:rPr>
        <w:t xml:space="preserve">ń </w:t>
      </w:r>
      <w:r>
        <w:rPr>
          <w:rFonts w:ascii="Times New Roman" w:hAnsi="Times New Roman" w:cs="Times New Roman"/>
          <w:sz w:val="24"/>
          <w:szCs w:val="24"/>
          <w:lang w:val="en-GB"/>
        </w:rPr>
        <w:t>over the period of</w:t>
      </w:r>
      <w:r w:rsidRPr="002A7A12">
        <w:rPr>
          <w:rFonts w:ascii="Times New Roman" w:hAnsi="Times New Roman" w:cs="Times New Roman"/>
          <w:sz w:val="24"/>
          <w:szCs w:val="24"/>
          <w:lang w:val="en-GB"/>
        </w:rPr>
        <w:t xml:space="preserve"> 2018-2022. The blood serum of patients suspected of poisoning was tested using immuno</w:t>
      </w:r>
      <w:r>
        <w:rPr>
          <w:rFonts w:ascii="Times New Roman" w:hAnsi="Times New Roman" w:cs="Times New Roman"/>
          <w:sz w:val="24"/>
          <w:szCs w:val="24"/>
          <w:lang w:val="en-GB"/>
        </w:rPr>
        <w:t>assay</w:t>
      </w:r>
      <w:r w:rsidRPr="002A7A12">
        <w:rPr>
          <w:rFonts w:ascii="Times New Roman" w:hAnsi="Times New Roman" w:cs="Times New Roman"/>
          <w:sz w:val="24"/>
          <w:szCs w:val="24"/>
          <w:lang w:val="en-GB"/>
        </w:rPr>
        <w:t xml:space="preserve"> method. The study proved an upward trend in the </w:t>
      </w:r>
      <w:r>
        <w:rPr>
          <w:rFonts w:ascii="Times New Roman" w:hAnsi="Times New Roman" w:cs="Times New Roman"/>
          <w:sz w:val="24"/>
          <w:szCs w:val="24"/>
          <w:lang w:val="en-GB"/>
        </w:rPr>
        <w:t>number</w:t>
      </w:r>
      <w:r w:rsidRPr="002A7A12">
        <w:rPr>
          <w:rFonts w:ascii="Times New Roman" w:hAnsi="Times New Roman" w:cs="Times New Roman"/>
          <w:sz w:val="24"/>
          <w:szCs w:val="24"/>
          <w:lang w:val="en-GB"/>
        </w:rPr>
        <w:t xml:space="preserve"> of paracetamol concentration tests</w:t>
      </w:r>
      <w:r>
        <w:rPr>
          <w:rFonts w:ascii="Times New Roman" w:hAnsi="Times New Roman" w:cs="Times New Roman"/>
          <w:sz w:val="24"/>
          <w:szCs w:val="24"/>
          <w:lang w:val="en-GB"/>
        </w:rPr>
        <w:t xml:space="preserve"> </w:t>
      </w:r>
      <w:r w:rsidRPr="002A7A12">
        <w:rPr>
          <w:rFonts w:ascii="Times New Roman" w:hAnsi="Times New Roman" w:cs="Times New Roman"/>
          <w:sz w:val="24"/>
          <w:szCs w:val="24"/>
          <w:lang w:val="en-GB"/>
        </w:rPr>
        <w:t xml:space="preserve">performed. It was observed that the highest percentage of patients were female and the largest group in terms of age were people </w:t>
      </w:r>
      <w:r>
        <w:rPr>
          <w:rFonts w:ascii="Times New Roman" w:hAnsi="Times New Roman" w:cs="Times New Roman"/>
          <w:sz w:val="24"/>
          <w:szCs w:val="24"/>
          <w:lang w:val="en-GB"/>
        </w:rPr>
        <w:t xml:space="preserve">ranging </w:t>
      </w:r>
      <w:r w:rsidRPr="002A7A12">
        <w:rPr>
          <w:rFonts w:ascii="Times New Roman" w:hAnsi="Times New Roman" w:cs="Times New Roman"/>
          <w:sz w:val="24"/>
          <w:szCs w:val="24"/>
          <w:lang w:val="en-GB"/>
        </w:rPr>
        <w:t xml:space="preserve">from 15 to 30 years old. In </w:t>
      </w:r>
      <w:r>
        <w:rPr>
          <w:rFonts w:ascii="Times New Roman" w:hAnsi="Times New Roman" w:cs="Times New Roman"/>
          <w:sz w:val="24"/>
          <w:szCs w:val="24"/>
          <w:lang w:val="en-GB"/>
        </w:rPr>
        <w:t xml:space="preserve">the </w:t>
      </w:r>
      <w:r w:rsidRPr="002A7A12">
        <w:rPr>
          <w:rFonts w:ascii="Times New Roman" w:hAnsi="Times New Roman" w:cs="Times New Roman"/>
          <w:sz w:val="24"/>
          <w:szCs w:val="24"/>
          <w:lang w:val="en-GB"/>
        </w:rPr>
        <w:t>analysed material</w:t>
      </w:r>
      <w:r>
        <w:rPr>
          <w:rFonts w:ascii="Times New Roman" w:hAnsi="Times New Roman" w:cs="Times New Roman"/>
          <w:sz w:val="24"/>
          <w:szCs w:val="24"/>
          <w:lang w:val="en-GB"/>
        </w:rPr>
        <w:t xml:space="preserve">, </w:t>
      </w:r>
      <w:r w:rsidRPr="002A7A12">
        <w:rPr>
          <w:rFonts w:ascii="Times New Roman" w:hAnsi="Times New Roman" w:cs="Times New Roman"/>
          <w:sz w:val="24"/>
          <w:szCs w:val="24"/>
          <w:lang w:val="en-GB"/>
        </w:rPr>
        <w:t>the concentrations of the drug most often reached toxic levels.</w:t>
      </w:r>
    </w:p>
    <w:p w14:paraId="1800B250" w14:textId="61B826CE" w:rsidR="003722DC" w:rsidRPr="003722DC" w:rsidRDefault="003722DC" w:rsidP="003722DC">
      <w:pPr>
        <w:spacing w:line="360" w:lineRule="auto"/>
        <w:jc w:val="both"/>
        <w:rPr>
          <w:rFonts w:ascii="Times New Roman" w:hAnsi="Times New Roman" w:cs="Times New Roman"/>
          <w:sz w:val="24"/>
          <w:szCs w:val="24"/>
          <w:lang w:val="en-GB"/>
        </w:rPr>
      </w:pPr>
      <w:r w:rsidRPr="003722DC">
        <w:rPr>
          <w:rFonts w:ascii="Times New Roman" w:hAnsi="Times New Roman" w:cs="Times New Roman"/>
          <w:b/>
          <w:bCs/>
          <w:sz w:val="24"/>
          <w:szCs w:val="24"/>
          <w:lang w:val="en-GB"/>
        </w:rPr>
        <w:t>Keywords</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paracetamol, acetaminophen</w:t>
      </w:r>
      <w:r w:rsidR="00A33641">
        <w:rPr>
          <w:rFonts w:ascii="Times New Roman" w:hAnsi="Times New Roman" w:cs="Times New Roman"/>
          <w:sz w:val="24"/>
          <w:szCs w:val="24"/>
          <w:lang w:val="en-GB"/>
        </w:rPr>
        <w:t>,</w:t>
      </w:r>
      <w:r w:rsidR="0043193C">
        <w:rPr>
          <w:rFonts w:ascii="Times New Roman" w:hAnsi="Times New Roman" w:cs="Times New Roman"/>
          <w:sz w:val="24"/>
          <w:szCs w:val="24"/>
          <w:lang w:val="en-GB"/>
        </w:rPr>
        <w:t xml:space="preserve"> </w:t>
      </w:r>
      <w:r w:rsidR="002206FA">
        <w:rPr>
          <w:rFonts w:ascii="Times New Roman" w:hAnsi="Times New Roman" w:cs="Times New Roman"/>
          <w:sz w:val="24"/>
          <w:szCs w:val="24"/>
          <w:lang w:val="en-GB"/>
        </w:rPr>
        <w:t>immunoassay</w:t>
      </w:r>
      <w:r w:rsidR="00254FE8">
        <w:rPr>
          <w:rFonts w:ascii="Times New Roman" w:hAnsi="Times New Roman" w:cs="Times New Roman"/>
          <w:sz w:val="24"/>
          <w:szCs w:val="24"/>
          <w:lang w:val="en-GB"/>
        </w:rPr>
        <w:t xml:space="preserve">, </w:t>
      </w:r>
      <w:r w:rsidR="00A33641">
        <w:rPr>
          <w:rFonts w:ascii="Times New Roman" w:hAnsi="Times New Roman" w:cs="Times New Roman"/>
          <w:sz w:val="24"/>
          <w:szCs w:val="24"/>
          <w:lang w:val="en-GB"/>
        </w:rPr>
        <w:t xml:space="preserve">ethanol, </w:t>
      </w:r>
      <w:r w:rsidR="00254FE8">
        <w:rPr>
          <w:rFonts w:ascii="Times New Roman" w:hAnsi="Times New Roman" w:cs="Times New Roman"/>
          <w:sz w:val="24"/>
          <w:szCs w:val="24"/>
          <w:lang w:val="en-GB"/>
        </w:rPr>
        <w:t>statistic</w:t>
      </w:r>
      <w:r w:rsidR="004B097E">
        <w:rPr>
          <w:rFonts w:ascii="Times New Roman" w:hAnsi="Times New Roman" w:cs="Times New Roman"/>
          <w:sz w:val="24"/>
          <w:szCs w:val="24"/>
          <w:lang w:val="en-GB"/>
        </w:rPr>
        <w:t>s</w:t>
      </w:r>
    </w:p>
    <w:p w14:paraId="280AAE11" w14:textId="460A7C87" w:rsidR="00A94B7D" w:rsidRDefault="00110187" w:rsidP="00A94B7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6AF9DD2" w14:textId="77777777" w:rsidR="00A94B7D" w:rsidRPr="00DE114F" w:rsidRDefault="00A94B7D" w:rsidP="00A94B7D">
      <w:pPr>
        <w:spacing w:after="0" w:line="360" w:lineRule="auto"/>
        <w:jc w:val="both"/>
        <w:rPr>
          <w:rFonts w:ascii="Times New Roman" w:hAnsi="Times New Roman" w:cs="Times New Roman"/>
          <w:b/>
          <w:bCs/>
          <w:sz w:val="24"/>
          <w:szCs w:val="24"/>
        </w:rPr>
      </w:pPr>
    </w:p>
    <w:p w14:paraId="302DE794" w14:textId="77777777" w:rsidR="00287E5A" w:rsidRPr="000C654B" w:rsidRDefault="00287E5A" w:rsidP="00287E5A">
      <w:pPr>
        <w:spacing w:line="360" w:lineRule="auto"/>
        <w:ind w:firstLine="708"/>
        <w:jc w:val="both"/>
        <w:rPr>
          <w:rFonts w:ascii="Times New Roman" w:hAnsi="Times New Roman" w:cs="Times New Roman"/>
          <w:sz w:val="24"/>
          <w:szCs w:val="24"/>
          <w:lang w:val="en-GB"/>
        </w:rPr>
      </w:pPr>
      <w:r w:rsidRPr="000C654B">
        <w:rPr>
          <w:rFonts w:ascii="Times New Roman" w:hAnsi="Times New Roman" w:cs="Times New Roman"/>
          <w:sz w:val="24"/>
          <w:szCs w:val="24"/>
          <w:lang w:val="en-GB"/>
        </w:rPr>
        <w:t>Paracetamol is one of the most popular and most frequently used painkillers and antipyretics in the world. It is a drug of choice for people who cannot be treated using nonsteroidal anti-inflammatory drugs (NSAIDs), e.g.</w:t>
      </w:r>
      <w:r>
        <w:rPr>
          <w:rFonts w:ascii="Times New Roman" w:hAnsi="Times New Roman" w:cs="Times New Roman"/>
          <w:sz w:val="24"/>
          <w:szCs w:val="24"/>
          <w:lang w:val="en-GB"/>
        </w:rPr>
        <w:t>,</w:t>
      </w:r>
      <w:r w:rsidRPr="000C654B">
        <w:rPr>
          <w:rFonts w:ascii="Times New Roman" w:hAnsi="Times New Roman" w:cs="Times New Roman"/>
          <w:sz w:val="24"/>
          <w:szCs w:val="24"/>
          <w:lang w:val="en-GB"/>
        </w:rPr>
        <w:t xml:space="preserve"> in cases of bronchial asthma, peptic ulcer disease, haemophilia, children under the age of 12 and pregnant or breastfeeding women. It is also </w:t>
      </w:r>
      <w:r>
        <w:rPr>
          <w:rFonts w:ascii="Times New Roman" w:hAnsi="Times New Roman" w:cs="Times New Roman"/>
          <w:sz w:val="24"/>
          <w:szCs w:val="24"/>
          <w:lang w:val="en-GB"/>
        </w:rPr>
        <w:t>relied upon</w:t>
      </w:r>
      <w:r w:rsidRPr="000C654B">
        <w:rPr>
          <w:rFonts w:ascii="Times New Roman" w:hAnsi="Times New Roman" w:cs="Times New Roman"/>
          <w:sz w:val="24"/>
          <w:szCs w:val="24"/>
          <w:lang w:val="en-GB"/>
        </w:rPr>
        <w:t xml:space="preserve"> in cases of allergy to salicylates. In Poland, paracetamol can be obtained without prescription as</w:t>
      </w:r>
      <w:r>
        <w:rPr>
          <w:rFonts w:ascii="Times New Roman" w:hAnsi="Times New Roman" w:cs="Times New Roman"/>
          <w:sz w:val="24"/>
          <w:szCs w:val="24"/>
          <w:lang w:val="en-GB"/>
        </w:rPr>
        <w:t xml:space="preserve"> a</w:t>
      </w:r>
      <w:r w:rsidRPr="000C654B">
        <w:rPr>
          <w:rFonts w:ascii="Times New Roman" w:hAnsi="Times New Roman" w:cs="Times New Roman"/>
          <w:sz w:val="24"/>
          <w:szCs w:val="24"/>
          <w:lang w:val="en-GB"/>
        </w:rPr>
        <w:t xml:space="preserve"> single or multicomponent therapeutic [1].</w:t>
      </w:r>
    </w:p>
    <w:p w14:paraId="05CA9792" w14:textId="686E02FC" w:rsidR="00287E5A" w:rsidRPr="000C654B" w:rsidRDefault="000C654B" w:rsidP="00287E5A">
      <w:pPr>
        <w:spacing w:line="360" w:lineRule="auto"/>
        <w:jc w:val="both"/>
        <w:rPr>
          <w:rFonts w:ascii="Times New Roman" w:hAnsi="Times New Roman" w:cs="Times New Roman"/>
          <w:sz w:val="24"/>
          <w:szCs w:val="24"/>
          <w:lang w:val="en-GB"/>
        </w:rPr>
      </w:pPr>
      <w:r w:rsidRPr="000C654B">
        <w:rPr>
          <w:rFonts w:ascii="Times New Roman" w:hAnsi="Times New Roman" w:cs="Times New Roman"/>
          <w:sz w:val="24"/>
          <w:szCs w:val="24"/>
          <w:lang w:val="en-GB"/>
        </w:rPr>
        <w:tab/>
      </w:r>
      <w:r w:rsidR="00287E5A" w:rsidRPr="000C654B">
        <w:rPr>
          <w:rFonts w:ascii="Times New Roman" w:hAnsi="Times New Roman" w:cs="Times New Roman"/>
          <w:sz w:val="24"/>
          <w:szCs w:val="24"/>
          <w:lang w:val="en-GB"/>
        </w:rPr>
        <w:t xml:space="preserve">This compound was first synthesized in 1878 by Harmon Northrop Morse, who reduced p-nitrophenol using tin in glacial acetic acid. However, the substance became widely used as a </w:t>
      </w:r>
      <w:r w:rsidR="00287E5A" w:rsidRPr="000C654B">
        <w:rPr>
          <w:rFonts w:ascii="Times New Roman" w:hAnsi="Times New Roman" w:cs="Times New Roman"/>
          <w:sz w:val="24"/>
          <w:szCs w:val="24"/>
          <w:lang w:val="en-GB"/>
        </w:rPr>
        <w:lastRenderedPageBreak/>
        <w:t xml:space="preserve">medicine after the researcher had passed away. The product was first sold in 1955 by McNeil Laboratories as a pain reliever and antipyretic for children. </w:t>
      </w:r>
      <w:r w:rsidR="00287E5A">
        <w:rPr>
          <w:rFonts w:ascii="Times New Roman" w:hAnsi="Times New Roman" w:cs="Times New Roman"/>
          <w:sz w:val="24"/>
          <w:szCs w:val="24"/>
          <w:lang w:val="en-GB"/>
        </w:rPr>
        <w:t xml:space="preserve">Tablets of </w:t>
      </w:r>
      <w:r w:rsidR="00287E5A" w:rsidRPr="000C654B">
        <w:rPr>
          <w:rFonts w:ascii="Times New Roman" w:hAnsi="Times New Roman" w:cs="Times New Roman"/>
          <w:sz w:val="24"/>
          <w:szCs w:val="24"/>
          <w:lang w:val="en-GB"/>
        </w:rPr>
        <w:t>500</w:t>
      </w:r>
      <w:r w:rsidR="00287E5A">
        <w:rPr>
          <w:rFonts w:ascii="Times New Roman" w:hAnsi="Times New Roman" w:cs="Times New Roman"/>
          <w:sz w:val="24"/>
          <w:szCs w:val="24"/>
          <w:lang w:val="en-GB"/>
        </w:rPr>
        <w:t xml:space="preserve"> </w:t>
      </w:r>
      <w:r w:rsidR="00287E5A" w:rsidRPr="000C654B">
        <w:rPr>
          <w:rFonts w:ascii="Times New Roman" w:hAnsi="Times New Roman" w:cs="Times New Roman"/>
          <w:sz w:val="24"/>
          <w:szCs w:val="24"/>
          <w:lang w:val="en-GB"/>
        </w:rPr>
        <w:t xml:space="preserve">mg Paracetamol </w:t>
      </w:r>
      <w:r w:rsidR="00287E5A">
        <w:rPr>
          <w:rFonts w:ascii="Times New Roman" w:hAnsi="Times New Roman" w:cs="Times New Roman"/>
          <w:sz w:val="24"/>
          <w:szCs w:val="24"/>
          <w:lang w:val="en-GB"/>
        </w:rPr>
        <w:t xml:space="preserve">were introduced for </w:t>
      </w:r>
      <w:r w:rsidR="00287E5A" w:rsidRPr="000C654B">
        <w:rPr>
          <w:rFonts w:ascii="Times New Roman" w:hAnsi="Times New Roman" w:cs="Times New Roman"/>
          <w:sz w:val="24"/>
          <w:szCs w:val="24"/>
          <w:lang w:val="en-GB"/>
        </w:rPr>
        <w:t>sale in the UK in 1956 and were initially available only by prescription, serving as painkillers and antipyretics. Unlike other painkillers, which contained aspirin, paracetamol did not irritate the stomach [2].</w:t>
      </w:r>
    </w:p>
    <w:p w14:paraId="488401A7" w14:textId="77777777" w:rsidR="00287E5A" w:rsidRPr="000C654B" w:rsidRDefault="000C654B" w:rsidP="00287E5A">
      <w:pPr>
        <w:spacing w:line="360" w:lineRule="auto"/>
        <w:jc w:val="both"/>
        <w:rPr>
          <w:rFonts w:ascii="Times New Roman" w:hAnsi="Times New Roman" w:cs="Times New Roman"/>
          <w:sz w:val="24"/>
          <w:szCs w:val="24"/>
          <w:lang w:val="en-GB"/>
        </w:rPr>
      </w:pPr>
      <w:r w:rsidRPr="000C654B">
        <w:rPr>
          <w:rFonts w:ascii="Times New Roman" w:hAnsi="Times New Roman" w:cs="Times New Roman"/>
          <w:sz w:val="24"/>
          <w:szCs w:val="24"/>
          <w:lang w:val="en-GB"/>
        </w:rPr>
        <w:tab/>
      </w:r>
      <w:r w:rsidR="00287E5A" w:rsidRPr="000C654B">
        <w:rPr>
          <w:rFonts w:ascii="Times New Roman" w:hAnsi="Times New Roman" w:cs="Times New Roman"/>
          <w:sz w:val="24"/>
          <w:szCs w:val="24"/>
          <w:lang w:val="en-GB"/>
        </w:rPr>
        <w:t xml:space="preserve">Despite the popularity of the drug, the mechanism of paracetamol’s effect on pain and fever is still a matter of debate. Unlike NSAIDs, paracetamol does not have a prominent anti-inflammatory activity and does not inhabit </w:t>
      </w:r>
      <w:r w:rsidR="00287E5A">
        <w:rPr>
          <w:rFonts w:ascii="Times New Roman" w:hAnsi="Times New Roman" w:cs="Times New Roman"/>
          <w:sz w:val="24"/>
          <w:szCs w:val="24"/>
          <w:lang w:val="en-GB"/>
        </w:rPr>
        <w:t xml:space="preserve">the </w:t>
      </w:r>
      <w:r w:rsidR="00287E5A" w:rsidRPr="000C654B">
        <w:rPr>
          <w:rFonts w:ascii="Times New Roman" w:hAnsi="Times New Roman" w:cs="Times New Roman"/>
          <w:sz w:val="24"/>
          <w:szCs w:val="24"/>
          <w:lang w:val="en-GB"/>
        </w:rPr>
        <w:t xml:space="preserve">blood clotting process. The effect of the drug comes from the activation of descending serotonergic pathways. It seems reasonable to assume that although the in vivo effect is similar to that of selective cyclooexygenase-2 (COX-2) inhibitors, it is different from </w:t>
      </w:r>
      <w:r w:rsidR="00287E5A">
        <w:rPr>
          <w:rFonts w:ascii="Times New Roman" w:hAnsi="Times New Roman" w:cs="Times New Roman"/>
          <w:sz w:val="24"/>
          <w:szCs w:val="24"/>
          <w:lang w:val="en-GB"/>
        </w:rPr>
        <w:t>the one</w:t>
      </w:r>
      <w:r w:rsidR="00287E5A" w:rsidRPr="000C654B">
        <w:rPr>
          <w:rFonts w:ascii="Times New Roman" w:hAnsi="Times New Roman" w:cs="Times New Roman"/>
          <w:sz w:val="24"/>
          <w:szCs w:val="24"/>
          <w:lang w:val="en-GB"/>
        </w:rPr>
        <w:t xml:space="preserve"> observed with NSAIDs. Paracetamol also inhibits prostaglandin synthesis in the central nervous system [3, 4].</w:t>
      </w:r>
    </w:p>
    <w:p w14:paraId="5098B4A0" w14:textId="77777777" w:rsidR="00287E5A" w:rsidRDefault="000C654B" w:rsidP="00DE114F">
      <w:pPr>
        <w:spacing w:line="360" w:lineRule="auto"/>
        <w:jc w:val="both"/>
        <w:rPr>
          <w:rFonts w:ascii="Times New Roman" w:hAnsi="Times New Roman" w:cs="Times New Roman"/>
          <w:sz w:val="24"/>
          <w:szCs w:val="24"/>
          <w:lang w:val="en-GB"/>
        </w:rPr>
      </w:pPr>
      <w:r w:rsidRPr="000C654B">
        <w:rPr>
          <w:rFonts w:ascii="Times New Roman" w:hAnsi="Times New Roman" w:cs="Times New Roman"/>
          <w:sz w:val="24"/>
          <w:szCs w:val="24"/>
          <w:lang w:val="en-GB"/>
        </w:rPr>
        <w:tab/>
      </w:r>
      <w:r w:rsidR="00287E5A" w:rsidRPr="000C654B">
        <w:rPr>
          <w:rFonts w:ascii="Times New Roman" w:hAnsi="Times New Roman" w:cs="Times New Roman"/>
          <w:sz w:val="24"/>
          <w:szCs w:val="24"/>
          <w:lang w:val="en-GB"/>
        </w:rPr>
        <w:t>Paracetamol is mainly metabolized in the liver. Phase I reactions can occur through oxidation, reduction and hydrolysis. This produces polar drug metabolites. Phase II reactions</w:t>
      </w:r>
      <w:r w:rsidR="00287E5A">
        <w:rPr>
          <w:rFonts w:ascii="Times New Roman" w:hAnsi="Times New Roman" w:cs="Times New Roman"/>
          <w:sz w:val="24"/>
          <w:szCs w:val="24"/>
          <w:lang w:val="en-GB"/>
        </w:rPr>
        <w:t>,</w:t>
      </w:r>
      <w:r w:rsidR="00287E5A" w:rsidRPr="000C654B">
        <w:rPr>
          <w:rFonts w:ascii="Times New Roman" w:hAnsi="Times New Roman" w:cs="Times New Roman"/>
          <w:sz w:val="24"/>
          <w:szCs w:val="24"/>
          <w:lang w:val="en-GB"/>
        </w:rPr>
        <w:t xml:space="preserve"> known as conjugation reactions (e.g.</w:t>
      </w:r>
      <w:r w:rsidR="00287E5A">
        <w:rPr>
          <w:rFonts w:ascii="Times New Roman" w:hAnsi="Times New Roman" w:cs="Times New Roman"/>
          <w:sz w:val="24"/>
          <w:szCs w:val="24"/>
          <w:lang w:val="en-GB"/>
        </w:rPr>
        <w:t>,</w:t>
      </w:r>
      <w:r w:rsidR="00287E5A" w:rsidRPr="000C654B">
        <w:rPr>
          <w:rFonts w:ascii="Times New Roman" w:hAnsi="Times New Roman" w:cs="Times New Roman"/>
          <w:sz w:val="24"/>
          <w:szCs w:val="24"/>
          <w:lang w:val="en-GB"/>
        </w:rPr>
        <w:t xml:space="preserve"> with glucuronic acid or sulfate)</w:t>
      </w:r>
      <w:r w:rsidR="00287E5A">
        <w:rPr>
          <w:rFonts w:ascii="Times New Roman" w:hAnsi="Times New Roman" w:cs="Times New Roman"/>
          <w:sz w:val="24"/>
          <w:szCs w:val="24"/>
          <w:lang w:val="en-GB"/>
        </w:rPr>
        <w:t>,</w:t>
      </w:r>
      <w:r w:rsidR="00287E5A" w:rsidRPr="000C654B">
        <w:rPr>
          <w:rFonts w:ascii="Times New Roman" w:hAnsi="Times New Roman" w:cs="Times New Roman"/>
          <w:sz w:val="24"/>
          <w:szCs w:val="24"/>
          <w:lang w:val="en-GB"/>
        </w:rPr>
        <w:t xml:space="preserve"> are usually detoxification reactions and involve interactions between the polar form of the phase I metabolite groups and conjugation groups. The end products, which are inactive and non-toxic, are ultimately excreted by the kidneys. The oxidative reactions typically involve cytochrome P450, nicotinamide adenine dinucleotide phosphate oxidase (NADPH) and oxygen. This leads to the formation of a toxic metabolite – </w:t>
      </w:r>
      <w:r w:rsidR="00287E5A" w:rsidRPr="00287E5A">
        <w:rPr>
          <w:rFonts w:ascii="Times New Roman" w:hAnsi="Times New Roman" w:cs="Times New Roman"/>
          <w:i/>
          <w:iCs/>
          <w:sz w:val="24"/>
          <w:szCs w:val="24"/>
          <w:lang w:val="en-GB"/>
        </w:rPr>
        <w:t>N</w:t>
      </w:r>
      <w:r w:rsidR="00287E5A" w:rsidRPr="000C654B">
        <w:rPr>
          <w:rFonts w:ascii="Times New Roman" w:hAnsi="Times New Roman" w:cs="Times New Roman"/>
          <w:sz w:val="24"/>
          <w:szCs w:val="24"/>
          <w:lang w:val="en-GB"/>
        </w:rPr>
        <w:t>-acetyl-</w:t>
      </w:r>
      <w:r w:rsidR="00287E5A" w:rsidRPr="00287E5A">
        <w:rPr>
          <w:rFonts w:ascii="Times New Roman" w:hAnsi="Times New Roman" w:cs="Times New Roman"/>
          <w:i/>
          <w:iCs/>
          <w:sz w:val="24"/>
          <w:szCs w:val="24"/>
          <w:lang w:val="en-GB"/>
        </w:rPr>
        <w:t>p</w:t>
      </w:r>
      <w:r w:rsidR="00287E5A" w:rsidRPr="000C654B">
        <w:rPr>
          <w:rFonts w:ascii="Times New Roman" w:hAnsi="Times New Roman" w:cs="Times New Roman"/>
          <w:sz w:val="24"/>
          <w:szCs w:val="24"/>
          <w:lang w:val="en-GB"/>
        </w:rPr>
        <w:t>-benzoquinone imine (NAPQI), which is primarily responsible for the hepatotoxicity of paracetamol [5].</w:t>
      </w:r>
    </w:p>
    <w:p w14:paraId="51FE15D1" w14:textId="77777777" w:rsidR="00287E5A" w:rsidRDefault="000C654B" w:rsidP="00DE114F">
      <w:pPr>
        <w:spacing w:line="360" w:lineRule="auto"/>
        <w:jc w:val="both"/>
        <w:rPr>
          <w:rFonts w:ascii="Times New Roman" w:hAnsi="Times New Roman" w:cs="Times New Roman"/>
          <w:sz w:val="24"/>
          <w:szCs w:val="24"/>
          <w:lang w:val="en-GB"/>
        </w:rPr>
      </w:pPr>
      <w:r w:rsidRPr="000C654B">
        <w:rPr>
          <w:rFonts w:ascii="Times New Roman" w:hAnsi="Times New Roman" w:cs="Times New Roman"/>
          <w:sz w:val="24"/>
          <w:szCs w:val="24"/>
          <w:lang w:val="en-GB"/>
        </w:rPr>
        <w:tab/>
      </w:r>
      <w:r w:rsidR="00287E5A" w:rsidRPr="000C654B">
        <w:rPr>
          <w:rFonts w:ascii="Times New Roman" w:hAnsi="Times New Roman" w:cs="Times New Roman"/>
          <w:sz w:val="24"/>
          <w:szCs w:val="24"/>
          <w:lang w:val="en-GB"/>
        </w:rPr>
        <w:t xml:space="preserve">The first paracetamol poisoning was reported in 1966. Within 10 years antidotes were developed and by 1980 acetylcysteine (NAC) was considered an optimal antidote for use in the treatment of poisonings. In the 40 years since paracetamol was introduced to the market, paracetamol poisoning has become a common cause of emergency hospitalization. The toxic effects of paracetamol are observed in many scenarios: after a single excessive ingestion, as an intentional suicidal effect, after accidental ingestion (usually by a child) or, rarely, by intentional administration by a third party. Paracetamol poisoning can also occur through repeated excessive consumption in an attempt to control medical </w:t>
      </w:r>
      <w:r w:rsidR="00287E5A">
        <w:rPr>
          <w:rFonts w:ascii="Times New Roman" w:hAnsi="Times New Roman" w:cs="Times New Roman"/>
          <w:sz w:val="24"/>
          <w:szCs w:val="24"/>
          <w:lang w:val="en-GB"/>
        </w:rPr>
        <w:t>ailments</w:t>
      </w:r>
      <w:r w:rsidR="00287E5A" w:rsidRPr="000C654B">
        <w:rPr>
          <w:rFonts w:ascii="Times New Roman" w:hAnsi="Times New Roman" w:cs="Times New Roman"/>
          <w:sz w:val="24"/>
          <w:szCs w:val="24"/>
          <w:lang w:val="en-GB"/>
        </w:rPr>
        <w:t xml:space="preserve"> such as toothache [6]. In Europe, North America and Australia Paracetamol remains the leading pharmaceutical cause of overdose</w:t>
      </w:r>
      <w:r w:rsidR="00287E5A">
        <w:rPr>
          <w:rFonts w:ascii="Times New Roman" w:hAnsi="Times New Roman" w:cs="Times New Roman"/>
          <w:sz w:val="24"/>
          <w:szCs w:val="24"/>
          <w:lang w:val="en-GB"/>
        </w:rPr>
        <w:t xml:space="preserve"> </w:t>
      </w:r>
      <w:r w:rsidR="00287E5A" w:rsidRPr="000C654B">
        <w:rPr>
          <w:rFonts w:ascii="Times New Roman" w:hAnsi="Times New Roman" w:cs="Times New Roman"/>
          <w:sz w:val="24"/>
          <w:szCs w:val="24"/>
          <w:lang w:val="en-GB"/>
        </w:rPr>
        <w:t xml:space="preserve">poisoning. It is a relatively common health problem and the most </w:t>
      </w:r>
      <w:r w:rsidR="00287E5A">
        <w:rPr>
          <w:rFonts w:ascii="Times New Roman" w:hAnsi="Times New Roman" w:cs="Times New Roman"/>
          <w:sz w:val="24"/>
          <w:szCs w:val="24"/>
          <w:lang w:val="en-GB"/>
        </w:rPr>
        <w:t>frequent</w:t>
      </w:r>
      <w:r w:rsidR="00287E5A" w:rsidRPr="000C654B">
        <w:rPr>
          <w:rFonts w:ascii="Times New Roman" w:hAnsi="Times New Roman" w:cs="Times New Roman"/>
          <w:sz w:val="24"/>
          <w:szCs w:val="24"/>
          <w:lang w:val="en-GB"/>
        </w:rPr>
        <w:t xml:space="preserve"> </w:t>
      </w:r>
      <w:r w:rsidR="00287E5A">
        <w:rPr>
          <w:rFonts w:ascii="Times New Roman" w:hAnsi="Times New Roman" w:cs="Times New Roman"/>
          <w:sz w:val="24"/>
          <w:szCs w:val="24"/>
          <w:lang w:val="en-GB"/>
        </w:rPr>
        <w:t>contributor to</w:t>
      </w:r>
      <w:r w:rsidR="00287E5A" w:rsidRPr="000C654B">
        <w:rPr>
          <w:rFonts w:ascii="Times New Roman" w:hAnsi="Times New Roman" w:cs="Times New Roman"/>
          <w:sz w:val="24"/>
          <w:szCs w:val="24"/>
          <w:lang w:val="en-GB"/>
        </w:rPr>
        <w:t xml:space="preserve"> acute liver failure in many European countries and </w:t>
      </w:r>
      <w:r w:rsidR="00287E5A">
        <w:rPr>
          <w:rFonts w:ascii="Times New Roman" w:hAnsi="Times New Roman" w:cs="Times New Roman"/>
          <w:sz w:val="24"/>
          <w:szCs w:val="24"/>
          <w:lang w:val="en-GB"/>
        </w:rPr>
        <w:t xml:space="preserve">in </w:t>
      </w:r>
      <w:r w:rsidR="00287E5A" w:rsidRPr="000C654B">
        <w:rPr>
          <w:rFonts w:ascii="Times New Roman" w:hAnsi="Times New Roman" w:cs="Times New Roman"/>
          <w:sz w:val="24"/>
          <w:szCs w:val="24"/>
          <w:lang w:val="en-GB"/>
        </w:rPr>
        <w:t xml:space="preserve">the United States. The broad availability of paracetamol has made it one of the most </w:t>
      </w:r>
      <w:r w:rsidR="00287E5A">
        <w:rPr>
          <w:rFonts w:ascii="Times New Roman" w:hAnsi="Times New Roman" w:cs="Times New Roman"/>
          <w:sz w:val="24"/>
          <w:szCs w:val="24"/>
          <w:lang w:val="en-GB"/>
        </w:rPr>
        <w:t>widely</w:t>
      </w:r>
      <w:r w:rsidR="00287E5A" w:rsidRPr="000C654B">
        <w:rPr>
          <w:rFonts w:ascii="Times New Roman" w:hAnsi="Times New Roman" w:cs="Times New Roman"/>
          <w:sz w:val="24"/>
          <w:szCs w:val="24"/>
          <w:lang w:val="en-GB"/>
        </w:rPr>
        <w:t xml:space="preserve"> taken drugs [7,8].</w:t>
      </w:r>
    </w:p>
    <w:p w14:paraId="44B309D5" w14:textId="4B2E8055" w:rsidR="00EF514B" w:rsidRPr="00D601AB" w:rsidRDefault="000C42E5" w:rsidP="00DE11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aim of the study</w:t>
      </w:r>
    </w:p>
    <w:p w14:paraId="23F7AAC3" w14:textId="77777777" w:rsidR="00287E5A" w:rsidRDefault="00287E5A" w:rsidP="00287E5A">
      <w:pPr>
        <w:spacing w:line="360" w:lineRule="auto"/>
        <w:ind w:firstLine="708"/>
        <w:jc w:val="both"/>
        <w:rPr>
          <w:rFonts w:ascii="Times New Roman" w:hAnsi="Times New Roman" w:cs="Times New Roman"/>
          <w:sz w:val="24"/>
          <w:szCs w:val="24"/>
          <w:lang w:val="en-GB"/>
        </w:rPr>
      </w:pPr>
      <w:r w:rsidRPr="000C42E5">
        <w:rPr>
          <w:rFonts w:ascii="Times New Roman" w:hAnsi="Times New Roman" w:cs="Times New Roman"/>
          <w:sz w:val="24"/>
          <w:szCs w:val="24"/>
          <w:lang w:val="en-GB"/>
        </w:rPr>
        <w:t>The aim of the study was to statistically analyse the results of toxicological tests on the concentration of paracetamol in the blood samples of patients diagnosed and treated in the hospital wards in Kuyavian-Pomeranian Voivodeship in 2018-2022. The analysis also included cases in which the ethanol concertation was determined at the same time.</w:t>
      </w:r>
    </w:p>
    <w:p w14:paraId="2C28FABC" w14:textId="77777777" w:rsidR="00DE114F" w:rsidRPr="000C42E5" w:rsidRDefault="00DE114F" w:rsidP="00DE114F">
      <w:pPr>
        <w:spacing w:line="360" w:lineRule="auto"/>
        <w:ind w:firstLine="708"/>
        <w:jc w:val="both"/>
        <w:rPr>
          <w:rFonts w:ascii="Times New Roman" w:hAnsi="Times New Roman" w:cs="Times New Roman"/>
          <w:sz w:val="24"/>
          <w:szCs w:val="24"/>
          <w:lang w:val="en-GB"/>
        </w:rPr>
      </w:pPr>
    </w:p>
    <w:p w14:paraId="00CDECD0" w14:textId="5D7D30CF" w:rsidR="00EF514B" w:rsidRPr="00D601AB" w:rsidRDefault="00EE2FC5" w:rsidP="00BD27C5">
      <w:pPr>
        <w:spacing w:line="360" w:lineRule="auto"/>
        <w:rPr>
          <w:rFonts w:ascii="Times New Roman" w:hAnsi="Times New Roman" w:cs="Times New Roman"/>
          <w:sz w:val="24"/>
          <w:szCs w:val="24"/>
        </w:rPr>
      </w:pPr>
      <w:r>
        <w:rPr>
          <w:rFonts w:ascii="Times New Roman" w:hAnsi="Times New Roman" w:cs="Times New Roman"/>
          <w:b/>
          <w:bCs/>
          <w:sz w:val="24"/>
          <w:szCs w:val="24"/>
        </w:rPr>
        <w:t>Mat</w:t>
      </w:r>
      <w:r w:rsidR="00186577">
        <w:rPr>
          <w:rFonts w:ascii="Times New Roman" w:hAnsi="Times New Roman" w:cs="Times New Roman"/>
          <w:b/>
          <w:bCs/>
          <w:sz w:val="24"/>
          <w:szCs w:val="24"/>
        </w:rPr>
        <w:t>erial and methods</w:t>
      </w:r>
    </w:p>
    <w:p w14:paraId="502C8FFE" w14:textId="73670B5A" w:rsidR="00287E5A" w:rsidRPr="00EE2FC5" w:rsidRDefault="00287E5A" w:rsidP="00287E5A">
      <w:pPr>
        <w:spacing w:line="360" w:lineRule="auto"/>
        <w:ind w:firstLine="708"/>
        <w:jc w:val="both"/>
        <w:rPr>
          <w:rFonts w:ascii="Times New Roman" w:hAnsi="Times New Roman" w:cs="Times New Roman"/>
          <w:sz w:val="24"/>
          <w:szCs w:val="24"/>
          <w:lang w:val="en-GB"/>
        </w:rPr>
      </w:pPr>
      <w:r w:rsidRPr="00EE2FC5">
        <w:rPr>
          <w:rFonts w:ascii="Times New Roman" w:hAnsi="Times New Roman" w:cs="Times New Roman"/>
          <w:sz w:val="24"/>
          <w:szCs w:val="24"/>
          <w:lang w:val="en-GB"/>
        </w:rPr>
        <w:t xml:space="preserve">The analysis focused on 362 paracetamol concentration results. The calculations were based on </w:t>
      </w:r>
      <w:r>
        <w:rPr>
          <w:rFonts w:ascii="Times New Roman" w:hAnsi="Times New Roman" w:cs="Times New Roman"/>
          <w:sz w:val="24"/>
          <w:szCs w:val="24"/>
          <w:lang w:val="en-GB"/>
        </w:rPr>
        <w:t xml:space="preserve">the </w:t>
      </w:r>
      <w:r w:rsidRPr="00EE2FC5">
        <w:rPr>
          <w:rFonts w:ascii="Times New Roman" w:hAnsi="Times New Roman" w:cs="Times New Roman"/>
          <w:sz w:val="24"/>
          <w:szCs w:val="24"/>
          <w:lang w:val="en-GB"/>
        </w:rPr>
        <w:t xml:space="preserve">results from samples taken 4 hours after </w:t>
      </w:r>
      <w:r>
        <w:rPr>
          <w:rFonts w:ascii="Times New Roman" w:hAnsi="Times New Roman" w:cs="Times New Roman"/>
          <w:sz w:val="24"/>
          <w:szCs w:val="24"/>
          <w:lang w:val="en-GB"/>
        </w:rPr>
        <w:t xml:space="preserve">the </w:t>
      </w:r>
      <w:r w:rsidRPr="00EE2FC5">
        <w:rPr>
          <w:rFonts w:ascii="Times New Roman" w:hAnsi="Times New Roman" w:cs="Times New Roman"/>
          <w:sz w:val="24"/>
          <w:szCs w:val="24"/>
          <w:lang w:val="en-GB"/>
        </w:rPr>
        <w:t>administration of the drug. The paracetamol concentration was determined using Thermo Scientific</w:t>
      </w:r>
      <w:r w:rsidRPr="00186577">
        <w:rPr>
          <w:rStyle w:val="Pogrubienie"/>
          <w:rFonts w:ascii="Times New Roman" w:hAnsi="Times New Roman" w:cs="Times New Roman"/>
          <w:b w:val="0"/>
          <w:bCs w:val="0"/>
          <w:sz w:val="24"/>
          <w:szCs w:val="24"/>
          <w:lang w:val="en-GB"/>
        </w:rPr>
        <w:t>™</w:t>
      </w:r>
      <w:r w:rsidRPr="00EE2FC5">
        <w:rPr>
          <w:rStyle w:val="Pogrubienie"/>
          <w:rFonts w:ascii="Times New Roman" w:hAnsi="Times New Roman" w:cs="Times New Roman"/>
          <w:sz w:val="24"/>
          <w:szCs w:val="24"/>
          <w:lang w:val="en-GB"/>
        </w:rPr>
        <w:t xml:space="preserve"> </w:t>
      </w:r>
      <w:r w:rsidRPr="00EE2FC5">
        <w:rPr>
          <w:rStyle w:val="Pogrubienie"/>
          <w:rFonts w:ascii="Times New Roman" w:hAnsi="Times New Roman" w:cs="Times New Roman"/>
          <w:b w:val="0"/>
          <w:bCs w:val="0"/>
          <w:sz w:val="24"/>
          <w:szCs w:val="24"/>
          <w:lang w:val="en-GB"/>
        </w:rPr>
        <w:t>Indiko Plus immunological analy</w:t>
      </w:r>
      <w:r>
        <w:rPr>
          <w:rStyle w:val="Pogrubienie"/>
          <w:rFonts w:ascii="Times New Roman" w:hAnsi="Times New Roman" w:cs="Times New Roman"/>
          <w:b w:val="0"/>
          <w:bCs w:val="0"/>
          <w:sz w:val="24"/>
          <w:szCs w:val="24"/>
          <w:lang w:val="en-GB"/>
        </w:rPr>
        <w:t>z</w:t>
      </w:r>
      <w:r w:rsidRPr="00EE2FC5">
        <w:rPr>
          <w:rStyle w:val="Pogrubienie"/>
          <w:rFonts w:ascii="Times New Roman" w:hAnsi="Times New Roman" w:cs="Times New Roman"/>
          <w:b w:val="0"/>
          <w:bCs w:val="0"/>
          <w:sz w:val="24"/>
          <w:szCs w:val="24"/>
          <w:lang w:val="en-GB"/>
        </w:rPr>
        <w:t>er and a dedicated set of DRI Acetaminophen Serum Toxicology Assay reagents (method measurement range</w:t>
      </w:r>
      <w:r w:rsidRPr="00EE2FC5">
        <w:rPr>
          <w:rStyle w:val="Pogrubienie"/>
          <w:rFonts w:ascii="Times New Roman" w:hAnsi="Times New Roman" w:cs="Times New Roman"/>
          <w:sz w:val="24"/>
          <w:szCs w:val="24"/>
          <w:lang w:val="en-GB"/>
        </w:rPr>
        <w:t xml:space="preserve"> </w:t>
      </w:r>
      <w:r w:rsidRPr="00EE2FC5">
        <w:rPr>
          <w:rFonts w:ascii="Times New Roman" w:hAnsi="Times New Roman" w:cs="Times New Roman"/>
          <w:sz w:val="24"/>
          <w:szCs w:val="24"/>
          <w:shd w:val="clear" w:color="auto" w:fill="FFFFFF"/>
          <w:lang w:val="en-GB"/>
        </w:rPr>
        <w:t xml:space="preserve">2,5 </w:t>
      </w:r>
      <w:r w:rsidRPr="00EE2FC5">
        <w:rPr>
          <w:rFonts w:ascii="Times New Roman" w:hAnsi="Times New Roman" w:cs="Times New Roman"/>
          <w:sz w:val="24"/>
          <w:szCs w:val="24"/>
          <w:lang w:val="en-GB"/>
        </w:rPr>
        <w:t>µg/ml - 200 µg/ml), the results of ethyl alcohol concentration were obtained with headspace gas chromatography Shimadzu GC2010 Plus and HS-20. The tests were carried out in the Toxicology Laboratory of the Department of Laboratory Diagnostics of the Szpital Zespolony im. L. Rydygiera</w:t>
      </w:r>
      <w:r>
        <w:rPr>
          <w:rFonts w:ascii="Times New Roman" w:hAnsi="Times New Roman" w:cs="Times New Roman"/>
          <w:sz w:val="24"/>
          <w:szCs w:val="24"/>
          <w:lang w:val="en-GB"/>
        </w:rPr>
        <w:t xml:space="preserve"> in</w:t>
      </w:r>
      <w:r w:rsidRPr="00EE2FC5">
        <w:rPr>
          <w:rFonts w:ascii="Times New Roman" w:hAnsi="Times New Roman" w:cs="Times New Roman"/>
          <w:sz w:val="24"/>
          <w:szCs w:val="24"/>
          <w:lang w:val="en-GB"/>
        </w:rPr>
        <w:t xml:space="preserve"> Toruń, Poland</w:t>
      </w:r>
      <w:r>
        <w:rPr>
          <w:rFonts w:ascii="Times New Roman" w:hAnsi="Times New Roman" w:cs="Times New Roman"/>
          <w:sz w:val="24"/>
          <w:szCs w:val="24"/>
          <w:lang w:val="en-GB"/>
        </w:rPr>
        <w:t xml:space="preserve"> (</w:t>
      </w:r>
      <w:r w:rsidRPr="00946F16">
        <w:rPr>
          <w:rFonts w:ascii="Times New Roman" w:hAnsi="Times New Roman" w:cs="Times New Roman"/>
          <w:sz w:val="24"/>
          <w:szCs w:val="24"/>
          <w:lang w:val="en-GB"/>
        </w:rPr>
        <w:t>ZDL WSzZ in Toruń</w:t>
      </w:r>
      <w:r>
        <w:rPr>
          <w:rFonts w:ascii="Times New Roman" w:hAnsi="Times New Roman" w:cs="Times New Roman"/>
          <w:sz w:val="24"/>
          <w:szCs w:val="24"/>
          <w:lang w:val="en-GB"/>
        </w:rPr>
        <w:t>).</w:t>
      </w:r>
      <w:r w:rsidRPr="00EE2FC5">
        <w:rPr>
          <w:rFonts w:ascii="Times New Roman" w:hAnsi="Times New Roman" w:cs="Times New Roman"/>
          <w:sz w:val="24"/>
          <w:szCs w:val="24"/>
          <w:lang w:val="en-GB"/>
        </w:rPr>
        <w:t xml:space="preserve"> The material used for assessing the paracetamol concentration was blood serum. The ethanol content was measured </w:t>
      </w:r>
      <w:r>
        <w:rPr>
          <w:rFonts w:ascii="Times New Roman" w:hAnsi="Times New Roman" w:cs="Times New Roman"/>
          <w:sz w:val="24"/>
          <w:szCs w:val="24"/>
          <w:lang w:val="en-GB"/>
        </w:rPr>
        <w:t>with</w:t>
      </w:r>
      <w:r w:rsidRPr="00EE2FC5">
        <w:rPr>
          <w:rFonts w:ascii="Times New Roman" w:hAnsi="Times New Roman" w:cs="Times New Roman"/>
          <w:sz w:val="24"/>
          <w:szCs w:val="24"/>
          <w:lang w:val="en-GB"/>
        </w:rPr>
        <w:t xml:space="preserve"> whole blood collected in test tubes containing lithium heparin. </w:t>
      </w:r>
      <w:r>
        <w:rPr>
          <w:rFonts w:ascii="Times New Roman" w:hAnsi="Times New Roman" w:cs="Times New Roman"/>
          <w:sz w:val="24"/>
          <w:szCs w:val="24"/>
          <w:lang w:val="en-GB"/>
        </w:rPr>
        <w:t>The d</w:t>
      </w:r>
      <w:r w:rsidRPr="00EE2FC5">
        <w:rPr>
          <w:rFonts w:ascii="Times New Roman" w:hAnsi="Times New Roman" w:cs="Times New Roman"/>
          <w:sz w:val="24"/>
          <w:szCs w:val="24"/>
          <w:lang w:val="en-GB"/>
        </w:rPr>
        <w:t>ata on the age and gender of patients came from the hospital</w:t>
      </w:r>
      <w:r>
        <w:rPr>
          <w:rFonts w:ascii="Times New Roman" w:hAnsi="Times New Roman" w:cs="Times New Roman"/>
          <w:sz w:val="24"/>
          <w:szCs w:val="24"/>
          <w:lang w:val="en-GB"/>
        </w:rPr>
        <w:t>’s</w:t>
      </w:r>
      <w:r w:rsidRPr="00EE2FC5">
        <w:rPr>
          <w:rFonts w:ascii="Times New Roman" w:hAnsi="Times New Roman" w:cs="Times New Roman"/>
          <w:sz w:val="24"/>
          <w:szCs w:val="24"/>
          <w:lang w:val="en-GB"/>
        </w:rPr>
        <w:t xml:space="preserve"> IT system and from </w:t>
      </w:r>
      <w:r>
        <w:rPr>
          <w:rFonts w:ascii="Times New Roman" w:hAnsi="Times New Roman" w:cs="Times New Roman"/>
          <w:sz w:val="24"/>
          <w:szCs w:val="24"/>
          <w:lang w:val="en-GB"/>
        </w:rPr>
        <w:t xml:space="preserve">the </w:t>
      </w:r>
      <w:r w:rsidRPr="00EE2FC5">
        <w:rPr>
          <w:rFonts w:ascii="Times New Roman" w:hAnsi="Times New Roman" w:cs="Times New Roman"/>
          <w:sz w:val="24"/>
          <w:szCs w:val="24"/>
          <w:lang w:val="en-GB"/>
        </w:rPr>
        <w:t xml:space="preserve">information included in </w:t>
      </w:r>
      <w:r>
        <w:rPr>
          <w:rFonts w:ascii="Times New Roman" w:hAnsi="Times New Roman" w:cs="Times New Roman"/>
          <w:sz w:val="24"/>
          <w:szCs w:val="24"/>
          <w:lang w:val="en-GB"/>
        </w:rPr>
        <w:t xml:space="preserve">the </w:t>
      </w:r>
      <w:r w:rsidRPr="00EE2FC5">
        <w:rPr>
          <w:rFonts w:ascii="Times New Roman" w:hAnsi="Times New Roman" w:cs="Times New Roman"/>
          <w:sz w:val="24"/>
          <w:szCs w:val="24"/>
          <w:lang w:val="en-GB"/>
        </w:rPr>
        <w:t xml:space="preserve">referrals for the toxicological tests. MS Excel </w:t>
      </w:r>
      <w:r>
        <w:rPr>
          <w:rFonts w:ascii="Times New Roman" w:hAnsi="Times New Roman" w:cs="Times New Roman"/>
          <w:sz w:val="24"/>
          <w:szCs w:val="24"/>
          <w:lang w:val="en-GB"/>
        </w:rPr>
        <w:t>program</w:t>
      </w:r>
      <w:r w:rsidRPr="00EE2FC5">
        <w:rPr>
          <w:rFonts w:ascii="Times New Roman" w:hAnsi="Times New Roman" w:cs="Times New Roman"/>
          <w:sz w:val="24"/>
          <w:szCs w:val="24"/>
          <w:lang w:val="en-GB"/>
        </w:rPr>
        <w:t xml:space="preserve"> was used for calculations</w:t>
      </w:r>
      <w:r>
        <w:rPr>
          <w:rFonts w:ascii="Times New Roman" w:hAnsi="Times New Roman" w:cs="Times New Roman"/>
          <w:sz w:val="24"/>
          <w:szCs w:val="24"/>
          <w:lang w:val="en-GB"/>
        </w:rPr>
        <w:t>.</w:t>
      </w:r>
    </w:p>
    <w:p w14:paraId="55A6D51E" w14:textId="77777777" w:rsidR="003E56FF" w:rsidRPr="003E56FF" w:rsidRDefault="003E56FF" w:rsidP="003E56FF">
      <w:pPr>
        <w:spacing w:line="360" w:lineRule="auto"/>
        <w:jc w:val="both"/>
        <w:rPr>
          <w:rFonts w:ascii="Times New Roman" w:hAnsi="Times New Roman" w:cs="Times New Roman"/>
          <w:b/>
          <w:bCs/>
          <w:sz w:val="24"/>
          <w:szCs w:val="24"/>
          <w:lang w:val="en-GB"/>
        </w:rPr>
      </w:pPr>
      <w:r w:rsidRPr="003E56FF">
        <w:rPr>
          <w:rFonts w:ascii="Times New Roman" w:hAnsi="Times New Roman" w:cs="Times New Roman"/>
          <w:b/>
          <w:bCs/>
          <w:sz w:val="24"/>
          <w:szCs w:val="24"/>
          <w:lang w:val="en-GB"/>
        </w:rPr>
        <w:t xml:space="preserve">Results </w:t>
      </w:r>
    </w:p>
    <w:p w14:paraId="7C4AB071" w14:textId="77777777" w:rsidR="003E56FF" w:rsidRPr="003E56FF" w:rsidRDefault="003E56FF" w:rsidP="003E56FF">
      <w:pPr>
        <w:spacing w:line="360" w:lineRule="auto"/>
        <w:jc w:val="both"/>
        <w:rPr>
          <w:rFonts w:ascii="Times New Roman" w:hAnsi="Times New Roman" w:cs="Times New Roman"/>
          <w:sz w:val="24"/>
          <w:szCs w:val="24"/>
          <w:lang w:val="en-GB"/>
        </w:rPr>
      </w:pPr>
      <w:r w:rsidRPr="003E56FF">
        <w:rPr>
          <w:rFonts w:ascii="Times New Roman" w:hAnsi="Times New Roman" w:cs="Times New Roman"/>
          <w:sz w:val="24"/>
          <w:szCs w:val="24"/>
          <w:lang w:val="en-GB"/>
        </w:rPr>
        <w:tab/>
        <w:t>The acquired results were presented in the form of charts and tables divided into individual years and months.</w:t>
      </w:r>
    </w:p>
    <w:p w14:paraId="19276D71" w14:textId="013AEA22" w:rsidR="00FB1C07" w:rsidRPr="00D601AB" w:rsidRDefault="00FB1C07" w:rsidP="00D601AB">
      <w:pPr>
        <w:keepNext/>
        <w:spacing w:line="360" w:lineRule="auto"/>
        <w:rPr>
          <w:rFonts w:ascii="Times New Roman" w:hAnsi="Times New Roman" w:cs="Times New Roman"/>
          <w:b/>
          <w:bCs/>
          <w:sz w:val="24"/>
          <w:szCs w:val="24"/>
        </w:rPr>
      </w:pPr>
      <w:r w:rsidRPr="00D601AB">
        <w:rPr>
          <w:rFonts w:ascii="Times New Roman" w:hAnsi="Times New Roman" w:cs="Times New Roman"/>
          <w:b/>
          <w:bCs/>
          <w:sz w:val="24"/>
          <w:szCs w:val="24"/>
        </w:rPr>
        <w:t>2018-2022</w:t>
      </w:r>
    </w:p>
    <w:p w14:paraId="4846557C" w14:textId="53E81919" w:rsidR="00287E5A" w:rsidRPr="005743F5" w:rsidRDefault="00287E5A" w:rsidP="00287E5A">
      <w:pPr>
        <w:spacing w:line="360" w:lineRule="auto"/>
        <w:ind w:firstLine="708"/>
        <w:jc w:val="both"/>
        <w:rPr>
          <w:rFonts w:ascii="Times New Roman" w:hAnsi="Times New Roman" w:cs="Times New Roman"/>
          <w:sz w:val="24"/>
          <w:szCs w:val="24"/>
          <w:lang w:val="en-GB"/>
        </w:rPr>
      </w:pPr>
      <w:r w:rsidRPr="005743F5">
        <w:rPr>
          <w:rFonts w:ascii="Times New Roman" w:hAnsi="Times New Roman" w:cs="Times New Roman"/>
          <w:sz w:val="24"/>
          <w:szCs w:val="24"/>
          <w:lang w:val="en-GB"/>
        </w:rPr>
        <w:t xml:space="preserve">Over the last </w:t>
      </w:r>
      <w:r>
        <w:rPr>
          <w:rFonts w:ascii="Times New Roman" w:hAnsi="Times New Roman" w:cs="Times New Roman"/>
          <w:sz w:val="24"/>
          <w:szCs w:val="24"/>
          <w:lang w:val="en-GB"/>
        </w:rPr>
        <w:t>2</w:t>
      </w:r>
      <w:r w:rsidRPr="005743F5">
        <w:rPr>
          <w:rFonts w:ascii="Times New Roman" w:hAnsi="Times New Roman" w:cs="Times New Roman"/>
          <w:sz w:val="24"/>
          <w:szCs w:val="24"/>
          <w:lang w:val="en-GB"/>
        </w:rPr>
        <w:t xml:space="preserve"> years</w:t>
      </w:r>
      <w:r>
        <w:rPr>
          <w:rFonts w:ascii="Times New Roman" w:hAnsi="Times New Roman" w:cs="Times New Roman"/>
          <w:sz w:val="24"/>
          <w:szCs w:val="24"/>
          <w:lang w:val="en-GB"/>
        </w:rPr>
        <w:t>,</w:t>
      </w:r>
      <w:r w:rsidRPr="005743F5">
        <w:rPr>
          <w:rFonts w:ascii="Times New Roman" w:hAnsi="Times New Roman" w:cs="Times New Roman"/>
          <w:sz w:val="24"/>
          <w:szCs w:val="24"/>
          <w:lang w:val="en-GB"/>
        </w:rPr>
        <w:t xml:space="preserve"> there has been an </w:t>
      </w:r>
      <w:r w:rsidR="00157E67">
        <w:rPr>
          <w:rFonts w:ascii="Times New Roman" w:hAnsi="Times New Roman" w:cs="Times New Roman"/>
          <w:sz w:val="24"/>
          <w:szCs w:val="24"/>
          <w:lang w:val="en-GB"/>
        </w:rPr>
        <w:t xml:space="preserve">significant </w:t>
      </w:r>
      <w:r w:rsidRPr="005743F5">
        <w:rPr>
          <w:rFonts w:ascii="Times New Roman" w:hAnsi="Times New Roman" w:cs="Times New Roman"/>
          <w:sz w:val="24"/>
          <w:szCs w:val="24"/>
          <w:lang w:val="en-GB"/>
        </w:rPr>
        <w:t xml:space="preserve">upward trend in the number of paracetamol concentration tests – in this period of time, most of them were performed in 2022 and least – in 2018 (fig. 1). A division into individual months was also made – it was noted that July was the month in which the fewest tests were made (fig. 2). The suspicion of paracetamol poisoning occurred in 70% of women (253 tests) and 30% </w:t>
      </w:r>
      <w:r>
        <w:rPr>
          <w:rFonts w:ascii="Times New Roman" w:hAnsi="Times New Roman" w:cs="Times New Roman"/>
          <w:sz w:val="24"/>
          <w:szCs w:val="24"/>
          <w:lang w:val="en-GB"/>
        </w:rPr>
        <w:t xml:space="preserve">of </w:t>
      </w:r>
      <w:r w:rsidRPr="005743F5">
        <w:rPr>
          <w:rFonts w:ascii="Times New Roman" w:hAnsi="Times New Roman" w:cs="Times New Roman"/>
          <w:sz w:val="24"/>
          <w:szCs w:val="24"/>
          <w:lang w:val="en-GB"/>
        </w:rPr>
        <w:t xml:space="preserve">men (109 tests) (fig 3.). The results were divided into </w:t>
      </w:r>
      <w:r>
        <w:rPr>
          <w:rFonts w:ascii="Times New Roman" w:hAnsi="Times New Roman" w:cs="Times New Roman"/>
          <w:sz w:val="24"/>
          <w:szCs w:val="24"/>
          <w:lang w:val="en-GB"/>
        </w:rPr>
        <w:t xml:space="preserve">the following </w:t>
      </w:r>
      <w:r w:rsidRPr="005743F5">
        <w:rPr>
          <w:rFonts w:ascii="Times New Roman" w:hAnsi="Times New Roman" w:cs="Times New Roman"/>
          <w:sz w:val="24"/>
          <w:szCs w:val="24"/>
          <w:lang w:val="en-GB"/>
        </w:rPr>
        <w:t>age groups: 0-14 years</w:t>
      </w:r>
      <w:r>
        <w:rPr>
          <w:rFonts w:ascii="Times New Roman" w:hAnsi="Times New Roman" w:cs="Times New Roman"/>
          <w:sz w:val="24"/>
          <w:szCs w:val="24"/>
          <w:lang w:val="en-GB"/>
        </w:rPr>
        <w:t xml:space="preserve"> old</w:t>
      </w:r>
      <w:r w:rsidRPr="005743F5">
        <w:rPr>
          <w:rFonts w:ascii="Times New Roman" w:hAnsi="Times New Roman" w:cs="Times New Roman"/>
          <w:sz w:val="24"/>
          <w:szCs w:val="24"/>
          <w:lang w:val="en-GB"/>
        </w:rPr>
        <w:t>, 15-30 years</w:t>
      </w:r>
      <w:r>
        <w:rPr>
          <w:rFonts w:ascii="Times New Roman" w:hAnsi="Times New Roman" w:cs="Times New Roman"/>
          <w:sz w:val="24"/>
          <w:szCs w:val="24"/>
          <w:lang w:val="en-GB"/>
        </w:rPr>
        <w:t xml:space="preserve"> old</w:t>
      </w:r>
      <w:r w:rsidRPr="005743F5">
        <w:rPr>
          <w:rFonts w:ascii="Times New Roman" w:hAnsi="Times New Roman" w:cs="Times New Roman"/>
          <w:sz w:val="24"/>
          <w:szCs w:val="24"/>
          <w:lang w:val="en-GB"/>
        </w:rPr>
        <w:t>, 31-65 years</w:t>
      </w:r>
      <w:r>
        <w:rPr>
          <w:rFonts w:ascii="Times New Roman" w:hAnsi="Times New Roman" w:cs="Times New Roman"/>
          <w:sz w:val="24"/>
          <w:szCs w:val="24"/>
          <w:lang w:val="en-GB"/>
        </w:rPr>
        <w:t xml:space="preserve"> old</w:t>
      </w:r>
      <w:r w:rsidRPr="005743F5">
        <w:rPr>
          <w:rFonts w:ascii="Times New Roman" w:hAnsi="Times New Roman" w:cs="Times New Roman"/>
          <w:sz w:val="24"/>
          <w:szCs w:val="24"/>
          <w:lang w:val="en-GB"/>
        </w:rPr>
        <w:t xml:space="preserve"> and over the age </w:t>
      </w:r>
      <w:r>
        <w:rPr>
          <w:rFonts w:ascii="Times New Roman" w:hAnsi="Times New Roman" w:cs="Times New Roman"/>
          <w:sz w:val="24"/>
          <w:szCs w:val="24"/>
          <w:lang w:val="en-GB"/>
        </w:rPr>
        <w:t xml:space="preserve">of </w:t>
      </w:r>
      <w:r w:rsidRPr="005743F5">
        <w:rPr>
          <w:rFonts w:ascii="Times New Roman" w:hAnsi="Times New Roman" w:cs="Times New Roman"/>
          <w:sz w:val="24"/>
          <w:szCs w:val="24"/>
          <w:lang w:val="en-GB"/>
        </w:rPr>
        <w:t>65. The largest number of tests, 176, were performed on patients in the</w:t>
      </w:r>
      <w:r>
        <w:rPr>
          <w:rFonts w:ascii="Times New Roman" w:hAnsi="Times New Roman" w:cs="Times New Roman"/>
          <w:sz w:val="24"/>
          <w:szCs w:val="24"/>
          <w:lang w:val="en-GB"/>
        </w:rPr>
        <w:t xml:space="preserve"> </w:t>
      </w:r>
      <w:r w:rsidRPr="005743F5">
        <w:rPr>
          <w:rFonts w:ascii="Times New Roman" w:hAnsi="Times New Roman" w:cs="Times New Roman"/>
          <w:sz w:val="24"/>
          <w:szCs w:val="24"/>
          <w:lang w:val="en-GB"/>
        </w:rPr>
        <w:t>15-</w:t>
      </w:r>
      <w:r w:rsidRPr="005743F5">
        <w:rPr>
          <w:rFonts w:ascii="Times New Roman" w:hAnsi="Times New Roman" w:cs="Times New Roman"/>
          <w:sz w:val="24"/>
          <w:szCs w:val="24"/>
          <w:lang w:val="en-GB"/>
        </w:rPr>
        <w:lastRenderedPageBreak/>
        <w:t>30</w:t>
      </w:r>
      <w:r>
        <w:rPr>
          <w:rFonts w:ascii="Times New Roman" w:hAnsi="Times New Roman" w:cs="Times New Roman"/>
          <w:sz w:val="24"/>
          <w:szCs w:val="24"/>
          <w:lang w:val="en-GB"/>
        </w:rPr>
        <w:t xml:space="preserve"> age group</w:t>
      </w:r>
      <w:r w:rsidRPr="005743F5">
        <w:rPr>
          <w:rFonts w:ascii="Times New Roman" w:hAnsi="Times New Roman" w:cs="Times New Roman"/>
          <w:sz w:val="24"/>
          <w:szCs w:val="24"/>
          <w:lang w:val="en-GB"/>
        </w:rPr>
        <w:t xml:space="preserve">. When it came to </w:t>
      </w:r>
      <w:r>
        <w:rPr>
          <w:rFonts w:ascii="Times New Roman" w:hAnsi="Times New Roman" w:cs="Times New Roman"/>
          <w:sz w:val="24"/>
          <w:szCs w:val="24"/>
          <w:lang w:val="en-GB"/>
        </w:rPr>
        <w:t xml:space="preserve">the </w:t>
      </w:r>
      <w:r w:rsidRPr="005743F5">
        <w:rPr>
          <w:rFonts w:ascii="Times New Roman" w:hAnsi="Times New Roman" w:cs="Times New Roman"/>
          <w:sz w:val="24"/>
          <w:szCs w:val="24"/>
          <w:lang w:val="en-GB"/>
        </w:rPr>
        <w:t xml:space="preserve">patients over 65, only 9 paracetamol concentration tests were </w:t>
      </w:r>
      <w:r>
        <w:rPr>
          <w:rFonts w:ascii="Times New Roman" w:hAnsi="Times New Roman" w:cs="Times New Roman"/>
          <w:sz w:val="24"/>
          <w:szCs w:val="24"/>
          <w:lang w:val="en-GB"/>
        </w:rPr>
        <w:t>carried out</w:t>
      </w:r>
      <w:r w:rsidRPr="005743F5">
        <w:rPr>
          <w:rFonts w:ascii="Times New Roman" w:hAnsi="Times New Roman" w:cs="Times New Roman"/>
          <w:sz w:val="24"/>
          <w:szCs w:val="24"/>
          <w:lang w:val="en-GB"/>
        </w:rPr>
        <w:t xml:space="preserve"> (fig</w:t>
      </w:r>
      <w:r>
        <w:rPr>
          <w:rFonts w:ascii="Times New Roman" w:hAnsi="Times New Roman" w:cs="Times New Roman"/>
          <w:sz w:val="24"/>
          <w:szCs w:val="24"/>
          <w:lang w:val="en-GB"/>
        </w:rPr>
        <w:t xml:space="preserve">. </w:t>
      </w:r>
      <w:r w:rsidRPr="005743F5">
        <w:rPr>
          <w:rFonts w:ascii="Times New Roman" w:hAnsi="Times New Roman" w:cs="Times New Roman"/>
          <w:sz w:val="24"/>
          <w:szCs w:val="24"/>
          <w:lang w:val="en-GB"/>
        </w:rPr>
        <w:t>4). Several ranges were distinguished considering the results in terms of acquired concentrations of paracetamol: 5 µg/ml – 113 tests, 5-20 µg/ml - 74 tests, 20-</w:t>
      </w:r>
      <w:r w:rsidR="009E4D0E">
        <w:rPr>
          <w:rFonts w:ascii="Times New Roman" w:hAnsi="Times New Roman" w:cs="Times New Roman"/>
          <w:sz w:val="24"/>
          <w:szCs w:val="24"/>
          <w:lang w:val="en-GB"/>
        </w:rPr>
        <w:t> </w:t>
      </w:r>
      <w:r w:rsidRPr="005743F5">
        <w:rPr>
          <w:rFonts w:ascii="Times New Roman" w:hAnsi="Times New Roman" w:cs="Times New Roman"/>
          <w:sz w:val="24"/>
          <w:szCs w:val="24"/>
          <w:lang w:val="en-GB"/>
        </w:rPr>
        <w:t>100</w:t>
      </w:r>
      <w:r w:rsidR="009E4D0E">
        <w:rPr>
          <w:rFonts w:ascii="Times New Roman" w:hAnsi="Times New Roman" w:cs="Times New Roman"/>
          <w:sz w:val="24"/>
          <w:szCs w:val="24"/>
          <w:lang w:val="en-GB"/>
        </w:rPr>
        <w:t> </w:t>
      </w:r>
      <w:r w:rsidRPr="005743F5">
        <w:rPr>
          <w:rFonts w:ascii="Times New Roman" w:hAnsi="Times New Roman" w:cs="Times New Roman"/>
          <w:sz w:val="24"/>
          <w:szCs w:val="24"/>
          <w:lang w:val="en-GB"/>
        </w:rPr>
        <w:t xml:space="preserve"> µg/ml - 125 tests and &gt;100 µg/ml - 52 tests (fig. 5). The number of simultaneously ordered tests for the concentration of paracetamol and ethyl alcohol in the blood of patients suspected of poisoning was also analysed. </w:t>
      </w:r>
      <w:r>
        <w:rPr>
          <w:rFonts w:ascii="Times New Roman" w:hAnsi="Times New Roman" w:cs="Times New Roman"/>
          <w:sz w:val="24"/>
          <w:szCs w:val="24"/>
          <w:lang w:val="en-GB"/>
        </w:rPr>
        <w:t>Amongst</w:t>
      </w:r>
      <w:r w:rsidRPr="005743F5">
        <w:rPr>
          <w:rFonts w:ascii="Times New Roman" w:hAnsi="Times New Roman" w:cs="Times New Roman"/>
          <w:sz w:val="24"/>
          <w:szCs w:val="24"/>
          <w:lang w:val="en-GB"/>
        </w:rPr>
        <w:t xml:space="preserve"> the 84 tests ordered for these two parameters, positive results were obtained in 11 cases (paracetamol &gt;2,5 µg/ml and ethanol </w:t>
      </w:r>
      <w:r w:rsidR="00F9435D">
        <w:rPr>
          <w:rFonts w:ascii="Times New Roman" w:hAnsi="Times New Roman" w:cs="Times New Roman"/>
          <w:sz w:val="24"/>
          <w:szCs w:val="24"/>
          <w:lang w:val="en-GB"/>
        </w:rPr>
        <w:t> </w:t>
      </w:r>
      <w:r w:rsidRPr="005743F5">
        <w:rPr>
          <w:rFonts w:ascii="Times New Roman" w:hAnsi="Times New Roman" w:cs="Times New Roman"/>
          <w:sz w:val="24"/>
          <w:szCs w:val="24"/>
          <w:lang w:val="en-GB"/>
        </w:rPr>
        <w:t xml:space="preserve">&gt;0,2 g/l) (tab. 1). </w:t>
      </w:r>
    </w:p>
    <w:p w14:paraId="5D72A0C7" w14:textId="1BF7DA2C" w:rsidR="00E14318" w:rsidRPr="00D601AB" w:rsidRDefault="00580B9D" w:rsidP="00D601AB">
      <w:pPr>
        <w:keepNext/>
        <w:spacing w:line="360" w:lineRule="auto"/>
        <w:jc w:val="center"/>
        <w:rPr>
          <w:rFonts w:ascii="Times New Roman" w:hAnsi="Times New Roman" w:cs="Times New Roman"/>
          <w:sz w:val="24"/>
          <w:szCs w:val="24"/>
        </w:rPr>
      </w:pPr>
      <w:r>
        <w:rPr>
          <w:noProof/>
        </w:rPr>
        <w:drawing>
          <wp:inline distT="0" distB="0" distL="0" distR="0" wp14:anchorId="0E7995AA" wp14:editId="7DA475E9">
            <wp:extent cx="4572000" cy="2743200"/>
            <wp:effectExtent l="0" t="0" r="0" b="0"/>
            <wp:docPr id="1429170030" name="Wykres 1">
              <a:extLst xmlns:a="http://schemas.openxmlformats.org/drawingml/2006/main">
                <a:ext uri="{FF2B5EF4-FFF2-40B4-BE49-F238E27FC236}">
                  <a16:creationId xmlns:a16="http://schemas.microsoft.com/office/drawing/2014/main" id="{23097DD6-5858-453C-9E05-3FB491BE7C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42D268" w14:textId="761CCF0B" w:rsidR="004909C5" w:rsidRPr="00D601AB" w:rsidRDefault="00E14318" w:rsidP="00D601AB">
      <w:pPr>
        <w:pStyle w:val="Legenda"/>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 xml:space="preserve">Figure </w:t>
      </w:r>
      <w:r w:rsidRPr="00D601AB">
        <w:rPr>
          <w:rFonts w:ascii="Times New Roman" w:hAnsi="Times New Roman" w:cs="Times New Roman"/>
          <w:sz w:val="24"/>
          <w:szCs w:val="24"/>
        </w:rPr>
        <w:fldChar w:fldCharType="begin"/>
      </w:r>
      <w:r w:rsidRPr="00D601AB">
        <w:rPr>
          <w:rFonts w:ascii="Times New Roman" w:hAnsi="Times New Roman" w:cs="Times New Roman"/>
          <w:sz w:val="24"/>
          <w:szCs w:val="24"/>
        </w:rPr>
        <w:instrText xml:space="preserve"> SEQ Figure \* ARABIC </w:instrText>
      </w:r>
      <w:r w:rsidRPr="00D601AB">
        <w:rPr>
          <w:rFonts w:ascii="Times New Roman" w:hAnsi="Times New Roman" w:cs="Times New Roman"/>
          <w:sz w:val="24"/>
          <w:szCs w:val="24"/>
        </w:rPr>
        <w:fldChar w:fldCharType="separate"/>
      </w:r>
      <w:r w:rsidR="00606DDD" w:rsidRPr="00D601AB">
        <w:rPr>
          <w:rFonts w:ascii="Times New Roman" w:hAnsi="Times New Roman" w:cs="Times New Roman"/>
          <w:noProof/>
          <w:sz w:val="24"/>
          <w:szCs w:val="24"/>
        </w:rPr>
        <w:t>1</w:t>
      </w:r>
      <w:r w:rsidRPr="00D601AB">
        <w:rPr>
          <w:rFonts w:ascii="Times New Roman" w:hAnsi="Times New Roman" w:cs="Times New Roman"/>
          <w:noProof/>
          <w:sz w:val="24"/>
          <w:szCs w:val="24"/>
        </w:rPr>
        <w:fldChar w:fldCharType="end"/>
      </w:r>
      <w:r w:rsidRPr="00D601AB">
        <w:rPr>
          <w:rFonts w:ascii="Times New Roman" w:hAnsi="Times New Roman" w:cs="Times New Roman"/>
          <w:sz w:val="24"/>
          <w:szCs w:val="24"/>
        </w:rPr>
        <w:t xml:space="preserve"> </w:t>
      </w:r>
      <w:r w:rsidR="00946F16" w:rsidRPr="00946F16">
        <w:rPr>
          <w:rFonts w:ascii="Times New Roman" w:hAnsi="Times New Roman" w:cs="Times New Roman"/>
          <w:i w:val="0"/>
          <w:iCs w:val="0"/>
          <w:sz w:val="24"/>
          <w:szCs w:val="24"/>
          <w:lang w:val="en-GB"/>
        </w:rPr>
        <w:t>Number of paracetamol concentration evaluations in Toxicology Laboratory of ZDL WSzZ in Toruń from 2018 to 2022.</w:t>
      </w:r>
    </w:p>
    <w:p w14:paraId="4B11F723" w14:textId="4E4C30FE" w:rsidR="00E14318" w:rsidRPr="00D601AB" w:rsidRDefault="00203724"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lastRenderedPageBreak/>
        <w:drawing>
          <wp:inline distT="0" distB="0" distL="0" distR="0" wp14:anchorId="5C005F0F" wp14:editId="71066874">
            <wp:extent cx="4572000" cy="2743200"/>
            <wp:effectExtent l="0" t="0" r="0" b="0"/>
            <wp:docPr id="1631516306" name="Wykres 1">
              <a:extLst xmlns:a="http://schemas.openxmlformats.org/drawingml/2006/main">
                <a:ext uri="{FF2B5EF4-FFF2-40B4-BE49-F238E27FC236}">
                  <a16:creationId xmlns:a16="http://schemas.microsoft.com/office/drawing/2014/main" id="{390591FF-7EE1-E308-68C8-819819919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3BE2F7" w14:textId="26C8C916" w:rsidR="00E14318" w:rsidRPr="00E218A8" w:rsidRDefault="00E14318"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Pr="00D601AB">
        <w:rPr>
          <w:rFonts w:ascii="Times New Roman" w:hAnsi="Times New Roman" w:cs="Times New Roman"/>
          <w:sz w:val="24"/>
          <w:szCs w:val="24"/>
        </w:rPr>
        <w:fldChar w:fldCharType="begin"/>
      </w:r>
      <w:r w:rsidRPr="00D601AB">
        <w:rPr>
          <w:rFonts w:ascii="Times New Roman" w:hAnsi="Times New Roman" w:cs="Times New Roman"/>
          <w:sz w:val="24"/>
          <w:szCs w:val="24"/>
        </w:rPr>
        <w:instrText xml:space="preserve"> SEQ Figure \* ARABIC </w:instrText>
      </w:r>
      <w:r w:rsidRPr="00D601AB">
        <w:rPr>
          <w:rFonts w:ascii="Times New Roman" w:hAnsi="Times New Roman" w:cs="Times New Roman"/>
          <w:sz w:val="24"/>
          <w:szCs w:val="24"/>
        </w:rPr>
        <w:fldChar w:fldCharType="separate"/>
      </w:r>
      <w:r w:rsidR="00606DDD" w:rsidRPr="00D601AB">
        <w:rPr>
          <w:rFonts w:ascii="Times New Roman" w:hAnsi="Times New Roman" w:cs="Times New Roman"/>
          <w:noProof/>
          <w:sz w:val="24"/>
          <w:szCs w:val="24"/>
        </w:rPr>
        <w:t>2</w:t>
      </w:r>
      <w:r w:rsidRPr="00D601AB">
        <w:rPr>
          <w:rFonts w:ascii="Times New Roman" w:hAnsi="Times New Roman" w:cs="Times New Roman"/>
          <w:noProof/>
          <w:sz w:val="24"/>
          <w:szCs w:val="24"/>
        </w:rPr>
        <w:fldChar w:fldCharType="end"/>
      </w:r>
      <w:r w:rsidRPr="00D601AB">
        <w:rPr>
          <w:rFonts w:ascii="Times New Roman" w:hAnsi="Times New Roman" w:cs="Times New Roman"/>
          <w:sz w:val="24"/>
          <w:szCs w:val="24"/>
        </w:rPr>
        <w:t xml:space="preserve"> </w:t>
      </w:r>
      <w:r w:rsidR="00E218A8" w:rsidRPr="00E218A8">
        <w:rPr>
          <w:rFonts w:ascii="Times New Roman" w:hAnsi="Times New Roman" w:cs="Times New Roman"/>
          <w:i w:val="0"/>
          <w:iCs w:val="0"/>
          <w:sz w:val="24"/>
          <w:szCs w:val="24"/>
          <w:lang w:val="en-GB"/>
        </w:rPr>
        <w:t>Number of paracetamol concentration evaluations in Toxicology Laboratory of ZDL WSzZ in Toruń from 2018 to 2022 divided into individual months.</w:t>
      </w:r>
    </w:p>
    <w:p w14:paraId="5688821C" w14:textId="77777777" w:rsidR="00E14318" w:rsidRPr="00D601AB" w:rsidRDefault="00E14318"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4B843C76" wp14:editId="4800C6A9">
            <wp:extent cx="2781300" cy="1671638"/>
            <wp:effectExtent l="0" t="0" r="0" b="5080"/>
            <wp:docPr id="462440380" name="Wykres 1">
              <a:extLst xmlns:a="http://schemas.openxmlformats.org/drawingml/2006/main">
                <a:ext uri="{FF2B5EF4-FFF2-40B4-BE49-F238E27FC236}">
                  <a16:creationId xmlns:a16="http://schemas.microsoft.com/office/drawing/2014/main" id="{5D4E24C1-4BDF-9358-ED85-D27372813A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CAC818" w14:textId="08FC93B2" w:rsidR="00E14318" w:rsidRPr="00207CA1" w:rsidRDefault="00E14318"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Pr="00D601AB">
        <w:rPr>
          <w:rFonts w:ascii="Times New Roman" w:hAnsi="Times New Roman" w:cs="Times New Roman"/>
          <w:sz w:val="24"/>
          <w:szCs w:val="24"/>
        </w:rPr>
        <w:fldChar w:fldCharType="begin"/>
      </w:r>
      <w:r w:rsidRPr="00D601AB">
        <w:rPr>
          <w:rFonts w:ascii="Times New Roman" w:hAnsi="Times New Roman" w:cs="Times New Roman"/>
          <w:sz w:val="24"/>
          <w:szCs w:val="24"/>
        </w:rPr>
        <w:instrText xml:space="preserve"> SEQ Figure \* ARABIC </w:instrText>
      </w:r>
      <w:r w:rsidRPr="00D601AB">
        <w:rPr>
          <w:rFonts w:ascii="Times New Roman" w:hAnsi="Times New Roman" w:cs="Times New Roman"/>
          <w:sz w:val="24"/>
          <w:szCs w:val="24"/>
        </w:rPr>
        <w:fldChar w:fldCharType="separate"/>
      </w:r>
      <w:r w:rsidR="00606DDD" w:rsidRPr="00D601AB">
        <w:rPr>
          <w:rFonts w:ascii="Times New Roman" w:hAnsi="Times New Roman" w:cs="Times New Roman"/>
          <w:noProof/>
          <w:sz w:val="24"/>
          <w:szCs w:val="24"/>
        </w:rPr>
        <w:t>3</w:t>
      </w:r>
      <w:r w:rsidRPr="00D601AB">
        <w:rPr>
          <w:rFonts w:ascii="Times New Roman" w:hAnsi="Times New Roman" w:cs="Times New Roman"/>
          <w:noProof/>
          <w:sz w:val="24"/>
          <w:szCs w:val="24"/>
        </w:rPr>
        <w:fldChar w:fldCharType="end"/>
      </w:r>
      <w:r w:rsidRPr="00D601AB">
        <w:rPr>
          <w:rFonts w:ascii="Times New Roman" w:hAnsi="Times New Roman" w:cs="Times New Roman"/>
          <w:sz w:val="24"/>
          <w:szCs w:val="24"/>
        </w:rPr>
        <w:t xml:space="preserve"> </w:t>
      </w:r>
      <w:r w:rsidR="00207CA1" w:rsidRPr="00207CA1">
        <w:rPr>
          <w:rFonts w:ascii="Times New Roman" w:hAnsi="Times New Roman" w:cs="Times New Roman"/>
          <w:i w:val="0"/>
          <w:iCs w:val="0"/>
          <w:sz w:val="24"/>
          <w:szCs w:val="24"/>
          <w:lang w:val="en-GB"/>
        </w:rPr>
        <w:t>Percentage of the number of paracetamol concentration evaluation in the Toxicology Laboratory of ZDL WSzZ in Toruń from 2018 to 2022 divided by gender.</w:t>
      </w:r>
    </w:p>
    <w:p w14:paraId="0E274373" w14:textId="50D465F8" w:rsidR="00C6641C" w:rsidRPr="00D601AB" w:rsidRDefault="00BD4E23" w:rsidP="00D601AB">
      <w:pPr>
        <w:keepNext/>
        <w:spacing w:line="360" w:lineRule="auto"/>
        <w:jc w:val="center"/>
        <w:rPr>
          <w:rFonts w:ascii="Times New Roman" w:hAnsi="Times New Roman" w:cs="Times New Roman"/>
          <w:sz w:val="24"/>
          <w:szCs w:val="24"/>
        </w:rPr>
      </w:pPr>
      <w:r>
        <w:rPr>
          <w:noProof/>
        </w:rPr>
        <w:lastRenderedPageBreak/>
        <w:drawing>
          <wp:inline distT="0" distB="0" distL="0" distR="0" wp14:anchorId="7F58B60E" wp14:editId="5263C402">
            <wp:extent cx="2752725" cy="1890395"/>
            <wp:effectExtent l="0" t="0" r="9525" b="14605"/>
            <wp:docPr id="1492614459" name="Wykres 1">
              <a:extLst xmlns:a="http://schemas.openxmlformats.org/drawingml/2006/main">
                <a:ext uri="{FF2B5EF4-FFF2-40B4-BE49-F238E27FC236}">
                  <a16:creationId xmlns:a16="http://schemas.microsoft.com/office/drawing/2014/main" id="{A8666346-2A80-CAB0-8D56-8B94FE895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117702" w:rsidRPr="00D601AB">
        <w:rPr>
          <w:rFonts w:ascii="Times New Roman" w:hAnsi="Times New Roman" w:cs="Times New Roman"/>
          <w:noProof/>
          <w:sz w:val="24"/>
          <w:szCs w:val="24"/>
        </w:rPr>
        <w:t xml:space="preserve">  </w:t>
      </w:r>
    </w:p>
    <w:p w14:paraId="2A2A3F22" w14:textId="4F09BF4D" w:rsidR="00C6641C" w:rsidRPr="00F25F1F" w:rsidRDefault="00C6641C"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 xml:space="preserve">4 </w:t>
      </w:r>
      <w:r w:rsidRPr="00D601AB">
        <w:rPr>
          <w:rFonts w:ascii="Times New Roman" w:hAnsi="Times New Roman" w:cs="Times New Roman"/>
          <w:sz w:val="24"/>
          <w:szCs w:val="24"/>
        </w:rPr>
        <w:t xml:space="preserve"> </w:t>
      </w:r>
      <w:r w:rsidR="00F25F1F" w:rsidRPr="00F25F1F">
        <w:rPr>
          <w:rFonts w:ascii="Times New Roman" w:hAnsi="Times New Roman" w:cs="Times New Roman"/>
          <w:i w:val="0"/>
          <w:iCs w:val="0"/>
          <w:sz w:val="24"/>
          <w:szCs w:val="24"/>
          <w:lang w:val="en-GB"/>
        </w:rPr>
        <w:t>Percentage of the number of paracetamol concentration evaluations in the Toxicology Laboratory of ZDL WSzZ in Toruń from 2018 to 2022 divided into individual age groups</w:t>
      </w:r>
    </w:p>
    <w:p w14:paraId="661123FC" w14:textId="4483F7A6" w:rsidR="00117702" w:rsidRPr="00D601AB" w:rsidRDefault="005537F7"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15C07FA3" wp14:editId="4743B87D">
            <wp:extent cx="2695575" cy="1976438"/>
            <wp:effectExtent l="0" t="0" r="9525" b="5080"/>
            <wp:docPr id="892244628" name="Wykres 1">
              <a:extLst xmlns:a="http://schemas.openxmlformats.org/drawingml/2006/main">
                <a:ext uri="{FF2B5EF4-FFF2-40B4-BE49-F238E27FC236}">
                  <a16:creationId xmlns:a16="http://schemas.microsoft.com/office/drawing/2014/main" id="{D76C5FDC-2497-8265-FAC6-B5F314577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5607D6" w14:textId="741775A7" w:rsidR="00117702" w:rsidRPr="00D601AB" w:rsidRDefault="00117702"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5</w:t>
      </w:r>
      <w:r w:rsidRPr="00D601AB">
        <w:rPr>
          <w:rFonts w:ascii="Times New Roman" w:hAnsi="Times New Roman" w:cs="Times New Roman"/>
          <w:sz w:val="24"/>
          <w:szCs w:val="24"/>
        </w:rPr>
        <w:t xml:space="preserve"> </w:t>
      </w:r>
      <w:r w:rsidR="00760869" w:rsidRPr="00760869">
        <w:rPr>
          <w:rFonts w:ascii="Times New Roman" w:hAnsi="Times New Roman" w:cs="Times New Roman"/>
          <w:i w:val="0"/>
          <w:iCs w:val="0"/>
          <w:sz w:val="24"/>
          <w:szCs w:val="24"/>
          <w:lang w:val="en-GB"/>
        </w:rPr>
        <w:t>Percentage of the number of paracetamol concentration evaluations in the Toxicology Laboratory of ZDL WSzZ in Toruń from 2018 to 2022 divided into obtained concentrations</w:t>
      </w:r>
    </w:p>
    <w:tbl>
      <w:tblPr>
        <w:tblStyle w:val="Tabela-Siatka"/>
        <w:tblW w:w="0" w:type="auto"/>
        <w:tblLook w:val="04A0" w:firstRow="1" w:lastRow="0" w:firstColumn="1" w:lastColumn="0" w:noHBand="0" w:noVBand="1"/>
      </w:tblPr>
      <w:tblGrid>
        <w:gridCol w:w="1461"/>
        <w:gridCol w:w="1285"/>
        <w:gridCol w:w="1286"/>
        <w:gridCol w:w="1286"/>
        <w:gridCol w:w="1287"/>
        <w:gridCol w:w="1287"/>
        <w:gridCol w:w="1170"/>
      </w:tblGrid>
      <w:tr w:rsidR="00AE01D4" w:rsidRPr="00D601AB" w14:paraId="440AF6ED" w14:textId="71637988" w:rsidTr="00AE01D4">
        <w:trPr>
          <w:trHeight w:val="1692"/>
        </w:trPr>
        <w:tc>
          <w:tcPr>
            <w:tcW w:w="1461" w:type="dxa"/>
          </w:tcPr>
          <w:p w14:paraId="567FE816" w14:textId="4CDD3ABC" w:rsidR="00B12955" w:rsidRPr="00D601AB" w:rsidRDefault="004A3E2A" w:rsidP="00D601AB">
            <w:pPr>
              <w:spacing w:line="360" w:lineRule="auto"/>
              <w:rPr>
                <w:rFonts w:ascii="Times New Roman" w:hAnsi="Times New Roman" w:cs="Times New Roman"/>
                <w:sz w:val="24"/>
                <w:szCs w:val="24"/>
              </w:rPr>
            </w:pPr>
            <w:r w:rsidRPr="00D601A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6BD3D6A" wp14:editId="1E5796BC">
                      <wp:simplePos x="0" y="0"/>
                      <wp:positionH relativeFrom="column">
                        <wp:posOffset>-114300</wp:posOffset>
                      </wp:positionH>
                      <wp:positionV relativeFrom="paragraph">
                        <wp:posOffset>-39370</wp:posOffset>
                      </wp:positionV>
                      <wp:extent cx="981075" cy="1104900"/>
                      <wp:effectExtent l="0" t="0" r="28575" b="19050"/>
                      <wp:wrapNone/>
                      <wp:docPr id="831789211" name="Łącznik prosty 1"/>
                      <wp:cNvGraphicFramePr/>
                      <a:graphic xmlns:a="http://schemas.openxmlformats.org/drawingml/2006/main">
                        <a:graphicData uri="http://schemas.microsoft.com/office/word/2010/wordprocessingShape">
                          <wps:wsp>
                            <wps:cNvCnPr/>
                            <wps:spPr>
                              <a:xfrm>
                                <a:off x="0" y="0"/>
                                <a:ext cx="981075" cy="1104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4782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1pt" to="68.2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" strokecolor="black [3200]" strokeweight=".5pt">
                      <v:stroke joinstyle="miter"/>
                    </v:line>
                  </w:pict>
                </mc:Fallback>
              </mc:AlternateContent>
            </w:r>
            <w:r w:rsidR="00B12955" w:rsidRPr="00D601AB">
              <w:rPr>
                <w:rFonts w:ascii="Times New Roman" w:hAnsi="Times New Roman" w:cs="Times New Roman"/>
                <w:sz w:val="24"/>
                <w:szCs w:val="24"/>
              </w:rPr>
              <w:t xml:space="preserve">              </w:t>
            </w:r>
          </w:p>
          <w:p w14:paraId="275C9D5C" w14:textId="3F8B9AA7" w:rsidR="00B12955" w:rsidRPr="00D601AB" w:rsidRDefault="00B12955" w:rsidP="00D601AB">
            <w:pPr>
              <w:spacing w:line="360" w:lineRule="auto"/>
              <w:rPr>
                <w:rFonts w:ascii="Times New Roman" w:hAnsi="Times New Roman" w:cs="Times New Roman"/>
                <w:b/>
                <w:bCs/>
                <w:sz w:val="24"/>
                <w:szCs w:val="24"/>
              </w:rPr>
            </w:pPr>
            <w:r w:rsidRPr="00D601AB">
              <w:rPr>
                <w:rFonts w:ascii="Times New Roman" w:hAnsi="Times New Roman" w:cs="Times New Roman"/>
                <w:b/>
                <w:bCs/>
                <w:sz w:val="24"/>
                <w:szCs w:val="24"/>
              </w:rPr>
              <w:t xml:space="preserve">           </w:t>
            </w:r>
            <w:r w:rsidR="00CC7754">
              <w:rPr>
                <w:rFonts w:ascii="Times New Roman" w:hAnsi="Times New Roman" w:cs="Times New Roman"/>
                <w:b/>
                <w:bCs/>
                <w:sz w:val="24"/>
                <w:szCs w:val="24"/>
              </w:rPr>
              <w:t>Year</w:t>
            </w:r>
          </w:p>
          <w:p w14:paraId="350EC628" w14:textId="77777777" w:rsidR="00C758A6" w:rsidRDefault="00C758A6" w:rsidP="00D601AB">
            <w:pPr>
              <w:spacing w:line="360" w:lineRule="auto"/>
              <w:rPr>
                <w:rFonts w:ascii="Times New Roman" w:hAnsi="Times New Roman" w:cs="Times New Roman"/>
                <w:b/>
                <w:bCs/>
                <w:sz w:val="24"/>
                <w:szCs w:val="24"/>
              </w:rPr>
            </w:pPr>
          </w:p>
          <w:p w14:paraId="6C8D0D7C" w14:textId="497FC59F" w:rsidR="00B12955" w:rsidRPr="00AE01D4" w:rsidRDefault="00AE01D4" w:rsidP="00D601AB">
            <w:pPr>
              <w:spacing w:line="360" w:lineRule="auto"/>
              <w:rPr>
                <w:rFonts w:ascii="Times New Roman" w:hAnsi="Times New Roman" w:cs="Times New Roman"/>
                <w:b/>
                <w:bCs/>
                <w:sz w:val="24"/>
                <w:szCs w:val="24"/>
              </w:rPr>
            </w:pPr>
            <w:r w:rsidRPr="00AE01D4">
              <w:rPr>
                <w:rFonts w:ascii="Times New Roman" w:hAnsi="Times New Roman" w:cs="Times New Roman"/>
                <w:b/>
                <w:bCs/>
                <w:sz w:val="24"/>
                <w:szCs w:val="24"/>
              </w:rPr>
              <w:t>Test</w:t>
            </w:r>
          </w:p>
        </w:tc>
        <w:tc>
          <w:tcPr>
            <w:tcW w:w="1285" w:type="dxa"/>
          </w:tcPr>
          <w:p w14:paraId="1062C189" w14:textId="77777777" w:rsidR="00B12955" w:rsidRPr="00D601AB" w:rsidRDefault="00B12955" w:rsidP="00D601AB">
            <w:pPr>
              <w:spacing w:line="360" w:lineRule="auto"/>
              <w:jc w:val="center"/>
              <w:rPr>
                <w:rFonts w:ascii="Times New Roman" w:hAnsi="Times New Roman" w:cs="Times New Roman"/>
                <w:sz w:val="24"/>
                <w:szCs w:val="24"/>
              </w:rPr>
            </w:pPr>
          </w:p>
          <w:p w14:paraId="7A4B43C2" w14:textId="34A3F109"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2018</w:t>
            </w:r>
          </w:p>
        </w:tc>
        <w:tc>
          <w:tcPr>
            <w:tcW w:w="1286" w:type="dxa"/>
          </w:tcPr>
          <w:p w14:paraId="2B4FEAC8" w14:textId="77777777" w:rsidR="00B12955" w:rsidRPr="00D601AB" w:rsidRDefault="00B12955" w:rsidP="00D601AB">
            <w:pPr>
              <w:spacing w:line="360" w:lineRule="auto"/>
              <w:jc w:val="center"/>
              <w:rPr>
                <w:rFonts w:ascii="Times New Roman" w:hAnsi="Times New Roman" w:cs="Times New Roman"/>
                <w:sz w:val="24"/>
                <w:szCs w:val="24"/>
              </w:rPr>
            </w:pPr>
          </w:p>
          <w:p w14:paraId="3473511A" w14:textId="6BAE6591"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2019</w:t>
            </w:r>
          </w:p>
        </w:tc>
        <w:tc>
          <w:tcPr>
            <w:tcW w:w="1286" w:type="dxa"/>
          </w:tcPr>
          <w:p w14:paraId="42A4CDFD" w14:textId="77777777" w:rsidR="00B12955" w:rsidRPr="00D601AB" w:rsidRDefault="00B12955" w:rsidP="00D601AB">
            <w:pPr>
              <w:spacing w:line="360" w:lineRule="auto"/>
              <w:jc w:val="center"/>
              <w:rPr>
                <w:rFonts w:ascii="Times New Roman" w:hAnsi="Times New Roman" w:cs="Times New Roman"/>
                <w:sz w:val="24"/>
                <w:szCs w:val="24"/>
              </w:rPr>
            </w:pPr>
          </w:p>
          <w:p w14:paraId="46FB3460" w14:textId="1C7B5627"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2020</w:t>
            </w:r>
          </w:p>
        </w:tc>
        <w:tc>
          <w:tcPr>
            <w:tcW w:w="1287" w:type="dxa"/>
          </w:tcPr>
          <w:p w14:paraId="7924AE14" w14:textId="77777777" w:rsidR="00B12955" w:rsidRPr="00D601AB" w:rsidRDefault="00B12955" w:rsidP="00D601AB">
            <w:pPr>
              <w:spacing w:line="360" w:lineRule="auto"/>
              <w:jc w:val="center"/>
              <w:rPr>
                <w:rFonts w:ascii="Times New Roman" w:hAnsi="Times New Roman" w:cs="Times New Roman"/>
                <w:sz w:val="24"/>
                <w:szCs w:val="24"/>
              </w:rPr>
            </w:pPr>
          </w:p>
          <w:p w14:paraId="2E15303A" w14:textId="477F491D"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2021</w:t>
            </w:r>
          </w:p>
        </w:tc>
        <w:tc>
          <w:tcPr>
            <w:tcW w:w="1287" w:type="dxa"/>
          </w:tcPr>
          <w:p w14:paraId="558F1CF5" w14:textId="77777777" w:rsidR="00B12955" w:rsidRPr="00D601AB" w:rsidRDefault="00B12955" w:rsidP="00D601AB">
            <w:pPr>
              <w:spacing w:line="360" w:lineRule="auto"/>
              <w:jc w:val="center"/>
              <w:rPr>
                <w:rFonts w:ascii="Times New Roman" w:hAnsi="Times New Roman" w:cs="Times New Roman"/>
                <w:sz w:val="24"/>
                <w:szCs w:val="24"/>
              </w:rPr>
            </w:pPr>
          </w:p>
          <w:p w14:paraId="7DE7E361" w14:textId="0F373F96"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2022</w:t>
            </w:r>
          </w:p>
        </w:tc>
        <w:tc>
          <w:tcPr>
            <w:tcW w:w="1170" w:type="dxa"/>
          </w:tcPr>
          <w:p w14:paraId="00FEF2AF" w14:textId="77777777" w:rsidR="00B12955" w:rsidRPr="00D601AB" w:rsidRDefault="00B12955" w:rsidP="00D601AB">
            <w:pPr>
              <w:spacing w:line="360" w:lineRule="auto"/>
              <w:jc w:val="center"/>
              <w:rPr>
                <w:rFonts w:ascii="Times New Roman" w:hAnsi="Times New Roman" w:cs="Times New Roman"/>
                <w:b/>
                <w:bCs/>
                <w:sz w:val="24"/>
                <w:szCs w:val="24"/>
              </w:rPr>
            </w:pPr>
          </w:p>
          <w:p w14:paraId="103A56D6" w14:textId="738244A7" w:rsidR="00B12955" w:rsidRPr="00D601AB" w:rsidRDefault="00096FB4" w:rsidP="00D601A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w:t>
            </w:r>
          </w:p>
        </w:tc>
      </w:tr>
      <w:tr w:rsidR="00AE01D4" w:rsidRPr="00D601AB" w14:paraId="75F4FB2D" w14:textId="2922101B" w:rsidTr="00B12955">
        <w:tc>
          <w:tcPr>
            <w:tcW w:w="1461" w:type="dxa"/>
          </w:tcPr>
          <w:p w14:paraId="73AFB125" w14:textId="228BBBAC" w:rsidR="00B12955" w:rsidRPr="00D601AB" w:rsidRDefault="00B12955" w:rsidP="00D601AB">
            <w:pPr>
              <w:spacing w:line="360" w:lineRule="auto"/>
              <w:rPr>
                <w:rFonts w:ascii="Times New Roman" w:hAnsi="Times New Roman" w:cs="Times New Roman"/>
                <w:sz w:val="24"/>
                <w:szCs w:val="24"/>
              </w:rPr>
            </w:pPr>
            <w:r w:rsidRPr="00D601AB">
              <w:rPr>
                <w:rFonts w:ascii="Times New Roman" w:hAnsi="Times New Roman" w:cs="Times New Roman"/>
                <w:sz w:val="24"/>
                <w:szCs w:val="24"/>
              </w:rPr>
              <w:t>Paracetamol + Et</w:t>
            </w:r>
            <w:r w:rsidR="00390744">
              <w:rPr>
                <w:rFonts w:ascii="Times New Roman" w:hAnsi="Times New Roman" w:cs="Times New Roman"/>
                <w:sz w:val="24"/>
                <w:szCs w:val="24"/>
              </w:rPr>
              <w:t>h</w:t>
            </w:r>
            <w:r w:rsidRPr="00D601AB">
              <w:rPr>
                <w:rFonts w:ascii="Times New Roman" w:hAnsi="Times New Roman" w:cs="Times New Roman"/>
                <w:sz w:val="24"/>
                <w:szCs w:val="24"/>
              </w:rPr>
              <w:t>anol</w:t>
            </w:r>
            <w:r w:rsidR="007A31AF">
              <w:rPr>
                <w:rFonts w:ascii="Times New Roman" w:hAnsi="Times New Roman" w:cs="Times New Roman"/>
                <w:sz w:val="24"/>
                <w:szCs w:val="24"/>
              </w:rPr>
              <w:t xml:space="preserve"> (in all)</w:t>
            </w:r>
          </w:p>
        </w:tc>
        <w:tc>
          <w:tcPr>
            <w:tcW w:w="1285" w:type="dxa"/>
          </w:tcPr>
          <w:p w14:paraId="7F8F2E28" w14:textId="77777777" w:rsidR="00B12955" w:rsidRPr="00D601AB" w:rsidRDefault="00B12955" w:rsidP="00D601AB">
            <w:pPr>
              <w:spacing w:line="360" w:lineRule="auto"/>
              <w:jc w:val="center"/>
              <w:rPr>
                <w:rFonts w:ascii="Times New Roman" w:hAnsi="Times New Roman" w:cs="Times New Roman"/>
                <w:sz w:val="24"/>
                <w:szCs w:val="24"/>
              </w:rPr>
            </w:pPr>
          </w:p>
          <w:p w14:paraId="362BCA7C" w14:textId="43B1301A"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7</w:t>
            </w:r>
          </w:p>
        </w:tc>
        <w:tc>
          <w:tcPr>
            <w:tcW w:w="1286" w:type="dxa"/>
          </w:tcPr>
          <w:p w14:paraId="50BA13CD" w14:textId="77777777" w:rsidR="00B12955" w:rsidRPr="00D601AB" w:rsidRDefault="00B12955" w:rsidP="00D601AB">
            <w:pPr>
              <w:spacing w:line="360" w:lineRule="auto"/>
              <w:jc w:val="center"/>
              <w:rPr>
                <w:rFonts w:ascii="Times New Roman" w:hAnsi="Times New Roman" w:cs="Times New Roman"/>
                <w:sz w:val="24"/>
                <w:szCs w:val="24"/>
              </w:rPr>
            </w:pPr>
          </w:p>
          <w:p w14:paraId="4903BC35" w14:textId="649F5CDA"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12</w:t>
            </w:r>
          </w:p>
        </w:tc>
        <w:tc>
          <w:tcPr>
            <w:tcW w:w="1286" w:type="dxa"/>
          </w:tcPr>
          <w:p w14:paraId="59431142" w14:textId="77777777" w:rsidR="00B12955" w:rsidRPr="00D601AB" w:rsidRDefault="00B12955" w:rsidP="00D601AB">
            <w:pPr>
              <w:spacing w:line="360" w:lineRule="auto"/>
              <w:jc w:val="center"/>
              <w:rPr>
                <w:rFonts w:ascii="Times New Roman" w:hAnsi="Times New Roman" w:cs="Times New Roman"/>
                <w:sz w:val="24"/>
                <w:szCs w:val="24"/>
              </w:rPr>
            </w:pPr>
          </w:p>
          <w:p w14:paraId="2F5809D5" w14:textId="3EDA56DC"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11</w:t>
            </w:r>
          </w:p>
        </w:tc>
        <w:tc>
          <w:tcPr>
            <w:tcW w:w="1287" w:type="dxa"/>
          </w:tcPr>
          <w:p w14:paraId="21DF5526" w14:textId="77777777" w:rsidR="00B12955" w:rsidRPr="00D601AB" w:rsidRDefault="00B12955" w:rsidP="00D601AB">
            <w:pPr>
              <w:spacing w:line="360" w:lineRule="auto"/>
              <w:jc w:val="center"/>
              <w:rPr>
                <w:rFonts w:ascii="Times New Roman" w:hAnsi="Times New Roman" w:cs="Times New Roman"/>
                <w:sz w:val="24"/>
                <w:szCs w:val="24"/>
              </w:rPr>
            </w:pPr>
          </w:p>
          <w:p w14:paraId="5F7DFC48" w14:textId="5C7C268A"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17</w:t>
            </w:r>
          </w:p>
        </w:tc>
        <w:tc>
          <w:tcPr>
            <w:tcW w:w="1287" w:type="dxa"/>
          </w:tcPr>
          <w:p w14:paraId="6DF76CEC" w14:textId="77777777" w:rsidR="00B12955" w:rsidRPr="00D601AB" w:rsidRDefault="00B12955" w:rsidP="00D601AB">
            <w:pPr>
              <w:spacing w:line="360" w:lineRule="auto"/>
              <w:jc w:val="center"/>
              <w:rPr>
                <w:rFonts w:ascii="Times New Roman" w:hAnsi="Times New Roman" w:cs="Times New Roman"/>
                <w:sz w:val="24"/>
                <w:szCs w:val="24"/>
              </w:rPr>
            </w:pPr>
          </w:p>
          <w:p w14:paraId="7F443011" w14:textId="5EA7FF3B"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37</w:t>
            </w:r>
          </w:p>
        </w:tc>
        <w:tc>
          <w:tcPr>
            <w:tcW w:w="1170" w:type="dxa"/>
          </w:tcPr>
          <w:p w14:paraId="18E37824" w14:textId="77777777" w:rsidR="00B12955" w:rsidRPr="00D601AB" w:rsidRDefault="00B12955" w:rsidP="00D601AB">
            <w:pPr>
              <w:spacing w:line="360" w:lineRule="auto"/>
              <w:jc w:val="center"/>
              <w:rPr>
                <w:rFonts w:ascii="Times New Roman" w:hAnsi="Times New Roman" w:cs="Times New Roman"/>
                <w:b/>
                <w:bCs/>
                <w:sz w:val="24"/>
                <w:szCs w:val="24"/>
              </w:rPr>
            </w:pPr>
          </w:p>
          <w:p w14:paraId="1AD0B6C6" w14:textId="30A0838D" w:rsidR="00B12955" w:rsidRPr="00D601AB" w:rsidRDefault="00B12955" w:rsidP="00D601AB">
            <w:pPr>
              <w:spacing w:line="360" w:lineRule="auto"/>
              <w:jc w:val="center"/>
              <w:rPr>
                <w:rFonts w:ascii="Times New Roman" w:hAnsi="Times New Roman" w:cs="Times New Roman"/>
                <w:b/>
                <w:bCs/>
                <w:sz w:val="24"/>
                <w:szCs w:val="24"/>
              </w:rPr>
            </w:pPr>
            <w:r w:rsidRPr="00D601AB">
              <w:rPr>
                <w:rFonts w:ascii="Times New Roman" w:hAnsi="Times New Roman" w:cs="Times New Roman"/>
                <w:b/>
                <w:bCs/>
                <w:sz w:val="24"/>
                <w:szCs w:val="24"/>
              </w:rPr>
              <w:t>84</w:t>
            </w:r>
          </w:p>
        </w:tc>
      </w:tr>
      <w:tr w:rsidR="00AE01D4" w:rsidRPr="00D601AB" w14:paraId="462EB00E" w14:textId="54009109" w:rsidTr="00B12955">
        <w:tc>
          <w:tcPr>
            <w:tcW w:w="1461" w:type="dxa"/>
          </w:tcPr>
          <w:p w14:paraId="628D2861" w14:textId="65AB7D57" w:rsidR="00B12955" w:rsidRPr="00D601AB" w:rsidRDefault="00B12955" w:rsidP="00D601AB">
            <w:pPr>
              <w:spacing w:line="360" w:lineRule="auto"/>
              <w:rPr>
                <w:rFonts w:ascii="Times New Roman" w:hAnsi="Times New Roman" w:cs="Times New Roman"/>
                <w:sz w:val="24"/>
                <w:szCs w:val="24"/>
              </w:rPr>
            </w:pPr>
            <w:r w:rsidRPr="00D601AB">
              <w:rPr>
                <w:rFonts w:ascii="Times New Roman" w:hAnsi="Times New Roman" w:cs="Times New Roman"/>
                <w:sz w:val="24"/>
                <w:szCs w:val="24"/>
              </w:rPr>
              <w:t xml:space="preserve">Paracetamol &gt;5 µg/ml + </w:t>
            </w:r>
            <w:r w:rsidRPr="00D601AB">
              <w:rPr>
                <w:rFonts w:ascii="Times New Roman" w:hAnsi="Times New Roman" w:cs="Times New Roman"/>
                <w:sz w:val="24"/>
                <w:szCs w:val="24"/>
              </w:rPr>
              <w:lastRenderedPageBreak/>
              <w:t>Et</w:t>
            </w:r>
            <w:r w:rsidR="00390744">
              <w:rPr>
                <w:rFonts w:ascii="Times New Roman" w:hAnsi="Times New Roman" w:cs="Times New Roman"/>
                <w:sz w:val="24"/>
                <w:szCs w:val="24"/>
              </w:rPr>
              <w:t>h</w:t>
            </w:r>
            <w:r w:rsidRPr="00D601AB">
              <w:rPr>
                <w:rFonts w:ascii="Times New Roman" w:hAnsi="Times New Roman" w:cs="Times New Roman"/>
                <w:sz w:val="24"/>
                <w:szCs w:val="24"/>
              </w:rPr>
              <w:t>anol &gt; 0,2 g/l</w:t>
            </w:r>
          </w:p>
        </w:tc>
        <w:tc>
          <w:tcPr>
            <w:tcW w:w="1285" w:type="dxa"/>
          </w:tcPr>
          <w:p w14:paraId="71805DE7" w14:textId="77777777" w:rsidR="00B12955" w:rsidRPr="00D601AB" w:rsidRDefault="00B12955" w:rsidP="00D601AB">
            <w:pPr>
              <w:spacing w:line="360" w:lineRule="auto"/>
              <w:jc w:val="center"/>
              <w:rPr>
                <w:rFonts w:ascii="Times New Roman" w:hAnsi="Times New Roman" w:cs="Times New Roman"/>
                <w:sz w:val="24"/>
                <w:szCs w:val="24"/>
              </w:rPr>
            </w:pPr>
          </w:p>
          <w:p w14:paraId="5C52F15F" w14:textId="32EAB722"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1</w:t>
            </w:r>
          </w:p>
        </w:tc>
        <w:tc>
          <w:tcPr>
            <w:tcW w:w="1286" w:type="dxa"/>
          </w:tcPr>
          <w:p w14:paraId="611D5F35" w14:textId="77777777" w:rsidR="00B12955" w:rsidRPr="00D601AB" w:rsidRDefault="00B12955" w:rsidP="00D601AB">
            <w:pPr>
              <w:spacing w:line="360" w:lineRule="auto"/>
              <w:jc w:val="center"/>
              <w:rPr>
                <w:rFonts w:ascii="Times New Roman" w:hAnsi="Times New Roman" w:cs="Times New Roman"/>
                <w:sz w:val="24"/>
                <w:szCs w:val="24"/>
              </w:rPr>
            </w:pPr>
          </w:p>
          <w:p w14:paraId="7502A512" w14:textId="0D967BF0"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1</w:t>
            </w:r>
          </w:p>
        </w:tc>
        <w:tc>
          <w:tcPr>
            <w:tcW w:w="1286" w:type="dxa"/>
          </w:tcPr>
          <w:p w14:paraId="1D1C29CC" w14:textId="77777777" w:rsidR="00B12955" w:rsidRPr="00D601AB" w:rsidRDefault="00B12955" w:rsidP="00D601AB">
            <w:pPr>
              <w:spacing w:line="360" w:lineRule="auto"/>
              <w:jc w:val="center"/>
              <w:rPr>
                <w:rFonts w:ascii="Times New Roman" w:hAnsi="Times New Roman" w:cs="Times New Roman"/>
                <w:sz w:val="24"/>
                <w:szCs w:val="24"/>
              </w:rPr>
            </w:pPr>
          </w:p>
          <w:p w14:paraId="0183A266" w14:textId="7CF9FAEC"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0</w:t>
            </w:r>
          </w:p>
        </w:tc>
        <w:tc>
          <w:tcPr>
            <w:tcW w:w="1287" w:type="dxa"/>
          </w:tcPr>
          <w:p w14:paraId="15685595" w14:textId="77777777" w:rsidR="00B12955" w:rsidRPr="00D601AB" w:rsidRDefault="00B12955" w:rsidP="00D601AB">
            <w:pPr>
              <w:spacing w:line="360" w:lineRule="auto"/>
              <w:jc w:val="center"/>
              <w:rPr>
                <w:rFonts w:ascii="Times New Roman" w:hAnsi="Times New Roman" w:cs="Times New Roman"/>
                <w:sz w:val="24"/>
                <w:szCs w:val="24"/>
              </w:rPr>
            </w:pPr>
          </w:p>
          <w:p w14:paraId="31F9C419" w14:textId="0FD2648E"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2</w:t>
            </w:r>
          </w:p>
        </w:tc>
        <w:tc>
          <w:tcPr>
            <w:tcW w:w="1287" w:type="dxa"/>
          </w:tcPr>
          <w:p w14:paraId="3CF57BF0" w14:textId="77777777" w:rsidR="00B12955" w:rsidRPr="00D601AB" w:rsidRDefault="00B12955" w:rsidP="00D601AB">
            <w:pPr>
              <w:spacing w:line="360" w:lineRule="auto"/>
              <w:jc w:val="center"/>
              <w:rPr>
                <w:rFonts w:ascii="Times New Roman" w:hAnsi="Times New Roman" w:cs="Times New Roman"/>
                <w:sz w:val="24"/>
                <w:szCs w:val="24"/>
              </w:rPr>
            </w:pPr>
          </w:p>
          <w:p w14:paraId="55E4D0E4" w14:textId="481A888E" w:rsidR="00B12955" w:rsidRPr="00D601AB" w:rsidRDefault="00B12955" w:rsidP="00D601AB">
            <w:pPr>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7</w:t>
            </w:r>
          </w:p>
        </w:tc>
        <w:tc>
          <w:tcPr>
            <w:tcW w:w="1170" w:type="dxa"/>
          </w:tcPr>
          <w:p w14:paraId="221CED45" w14:textId="77777777" w:rsidR="00B12955" w:rsidRPr="00D601AB" w:rsidRDefault="00B12955" w:rsidP="00D601AB">
            <w:pPr>
              <w:spacing w:line="360" w:lineRule="auto"/>
              <w:jc w:val="center"/>
              <w:rPr>
                <w:rFonts w:ascii="Times New Roman" w:hAnsi="Times New Roman" w:cs="Times New Roman"/>
                <w:b/>
                <w:bCs/>
                <w:sz w:val="24"/>
                <w:szCs w:val="24"/>
              </w:rPr>
            </w:pPr>
          </w:p>
          <w:p w14:paraId="34C8EE92" w14:textId="6984AE3B" w:rsidR="00B12955" w:rsidRPr="00D601AB" w:rsidRDefault="00B12955" w:rsidP="00D601AB">
            <w:pPr>
              <w:keepNext/>
              <w:spacing w:line="360" w:lineRule="auto"/>
              <w:jc w:val="center"/>
              <w:rPr>
                <w:rFonts w:ascii="Times New Roman" w:hAnsi="Times New Roman" w:cs="Times New Roman"/>
                <w:b/>
                <w:bCs/>
                <w:sz w:val="24"/>
                <w:szCs w:val="24"/>
              </w:rPr>
            </w:pPr>
            <w:r w:rsidRPr="00D601AB">
              <w:rPr>
                <w:rFonts w:ascii="Times New Roman" w:hAnsi="Times New Roman" w:cs="Times New Roman"/>
                <w:b/>
                <w:bCs/>
                <w:sz w:val="24"/>
                <w:szCs w:val="24"/>
              </w:rPr>
              <w:t>11</w:t>
            </w:r>
          </w:p>
        </w:tc>
      </w:tr>
    </w:tbl>
    <w:p w14:paraId="251D3E5E" w14:textId="12772749" w:rsidR="00B12955" w:rsidRPr="00191624" w:rsidRDefault="00B12955" w:rsidP="00D601AB">
      <w:pPr>
        <w:pStyle w:val="Legenda"/>
        <w:spacing w:line="360" w:lineRule="auto"/>
        <w:jc w:val="center"/>
        <w:rPr>
          <w:rFonts w:ascii="Times New Roman" w:hAnsi="Times New Roman" w:cs="Times New Roman"/>
          <w:i w:val="0"/>
          <w:iCs w:val="0"/>
          <w:color w:val="auto"/>
          <w:sz w:val="24"/>
          <w:szCs w:val="24"/>
        </w:rPr>
      </w:pPr>
      <w:r w:rsidRPr="00D601AB">
        <w:rPr>
          <w:rFonts w:ascii="Times New Roman" w:hAnsi="Times New Roman" w:cs="Times New Roman"/>
          <w:sz w:val="24"/>
          <w:szCs w:val="24"/>
        </w:rPr>
        <w:br/>
      </w:r>
      <w:r w:rsidRPr="004D343C">
        <w:rPr>
          <w:rFonts w:ascii="Times New Roman" w:hAnsi="Times New Roman" w:cs="Times New Roman"/>
          <w:color w:val="auto"/>
          <w:sz w:val="24"/>
          <w:szCs w:val="24"/>
        </w:rPr>
        <w:t>Tab</w:t>
      </w:r>
      <w:r w:rsidR="00390744" w:rsidRPr="004D343C">
        <w:rPr>
          <w:rFonts w:ascii="Times New Roman" w:hAnsi="Times New Roman" w:cs="Times New Roman"/>
          <w:color w:val="auto"/>
          <w:sz w:val="24"/>
          <w:szCs w:val="24"/>
        </w:rPr>
        <w:t>le</w:t>
      </w:r>
      <w:r w:rsidRPr="004D343C">
        <w:rPr>
          <w:rFonts w:ascii="Times New Roman" w:hAnsi="Times New Roman" w:cs="Times New Roman"/>
          <w:color w:val="auto"/>
          <w:sz w:val="24"/>
          <w:szCs w:val="24"/>
        </w:rPr>
        <w:t xml:space="preserve"> </w:t>
      </w:r>
      <w:r w:rsidRPr="004D343C">
        <w:rPr>
          <w:rFonts w:ascii="Times New Roman" w:hAnsi="Times New Roman" w:cs="Times New Roman"/>
          <w:color w:val="auto"/>
          <w:sz w:val="24"/>
          <w:szCs w:val="24"/>
        </w:rPr>
        <w:fldChar w:fldCharType="begin"/>
      </w:r>
      <w:r w:rsidRPr="004D343C">
        <w:rPr>
          <w:rFonts w:ascii="Times New Roman" w:hAnsi="Times New Roman" w:cs="Times New Roman"/>
          <w:color w:val="auto"/>
          <w:sz w:val="24"/>
          <w:szCs w:val="24"/>
        </w:rPr>
        <w:instrText xml:space="preserve"> SEQ Tabela \* ARABIC </w:instrText>
      </w:r>
      <w:r w:rsidRPr="004D343C">
        <w:rPr>
          <w:rFonts w:ascii="Times New Roman" w:hAnsi="Times New Roman" w:cs="Times New Roman"/>
          <w:color w:val="auto"/>
          <w:sz w:val="24"/>
          <w:szCs w:val="24"/>
        </w:rPr>
        <w:fldChar w:fldCharType="separate"/>
      </w:r>
      <w:r w:rsidRPr="004D343C">
        <w:rPr>
          <w:rFonts w:ascii="Times New Roman" w:hAnsi="Times New Roman" w:cs="Times New Roman"/>
          <w:noProof/>
          <w:color w:val="auto"/>
          <w:sz w:val="24"/>
          <w:szCs w:val="24"/>
        </w:rPr>
        <w:t>1</w:t>
      </w:r>
      <w:r w:rsidRPr="004D343C">
        <w:rPr>
          <w:rFonts w:ascii="Times New Roman" w:hAnsi="Times New Roman" w:cs="Times New Roman"/>
          <w:color w:val="auto"/>
          <w:sz w:val="24"/>
          <w:szCs w:val="24"/>
        </w:rPr>
        <w:fldChar w:fldCharType="end"/>
      </w:r>
      <w:r w:rsidR="004D343C">
        <w:rPr>
          <w:rFonts w:ascii="Times New Roman" w:hAnsi="Times New Roman" w:cs="Times New Roman"/>
          <w:color w:val="auto"/>
          <w:sz w:val="24"/>
          <w:szCs w:val="24"/>
        </w:rPr>
        <w:t xml:space="preserve"> </w:t>
      </w:r>
      <w:r w:rsidR="00E4486B" w:rsidRPr="00191624">
        <w:rPr>
          <w:rFonts w:ascii="Times New Roman" w:hAnsi="Times New Roman" w:cs="Times New Roman"/>
          <w:i w:val="0"/>
          <w:iCs w:val="0"/>
          <w:color w:val="auto"/>
          <w:sz w:val="24"/>
          <w:szCs w:val="24"/>
          <w:lang w:val="en-GB"/>
        </w:rPr>
        <w:t>Number of simultaneously ordered determinations of paracetamol and ethyl alcohol concentrations in the Toxicology Laboratory of ZDL WSzZ in Toruń from 2018 to 2022.</w:t>
      </w:r>
    </w:p>
    <w:p w14:paraId="3FB4A7DD" w14:textId="6DEE7131" w:rsidR="00FB1C07" w:rsidRPr="00D601AB" w:rsidRDefault="00FB1C07" w:rsidP="00D601AB">
      <w:pPr>
        <w:pStyle w:val="Legenda"/>
        <w:spacing w:line="360" w:lineRule="auto"/>
        <w:rPr>
          <w:rFonts w:ascii="Times New Roman" w:hAnsi="Times New Roman" w:cs="Times New Roman"/>
          <w:sz w:val="24"/>
          <w:szCs w:val="24"/>
        </w:rPr>
      </w:pPr>
    </w:p>
    <w:p w14:paraId="42EA3769" w14:textId="3B1A9045" w:rsidR="007D608D" w:rsidRPr="00887BE1" w:rsidRDefault="005C6379" w:rsidP="007D608D">
      <w:pPr>
        <w:spacing w:line="360" w:lineRule="auto"/>
        <w:rPr>
          <w:rFonts w:ascii="Times New Roman" w:hAnsi="Times New Roman" w:cs="Times New Roman"/>
          <w:b/>
          <w:bCs/>
          <w:sz w:val="24"/>
          <w:szCs w:val="24"/>
        </w:rPr>
      </w:pPr>
      <w:r w:rsidRPr="00D601AB">
        <w:rPr>
          <w:rFonts w:ascii="Times New Roman" w:hAnsi="Times New Roman" w:cs="Times New Roman"/>
          <w:b/>
          <w:bCs/>
          <w:sz w:val="24"/>
          <w:szCs w:val="24"/>
        </w:rPr>
        <w:t>2018</w:t>
      </w:r>
    </w:p>
    <w:p w14:paraId="2E5C976E" w14:textId="77777777" w:rsidR="007D608D" w:rsidRPr="00987203" w:rsidRDefault="007D608D" w:rsidP="007D608D">
      <w:pPr>
        <w:spacing w:line="360" w:lineRule="auto"/>
        <w:ind w:firstLine="708"/>
        <w:jc w:val="both"/>
        <w:rPr>
          <w:rFonts w:ascii="Times New Roman" w:hAnsi="Times New Roman" w:cs="Times New Roman"/>
          <w:sz w:val="24"/>
          <w:szCs w:val="24"/>
          <w:lang w:val="en-GB"/>
        </w:rPr>
      </w:pPr>
      <w:r w:rsidRPr="00987203">
        <w:rPr>
          <w:rFonts w:ascii="Times New Roman" w:hAnsi="Times New Roman" w:cs="Times New Roman"/>
          <w:sz w:val="24"/>
          <w:szCs w:val="24"/>
          <w:lang w:val="en-GB"/>
        </w:rPr>
        <w:t>In 2018</w:t>
      </w:r>
      <w:r>
        <w:rPr>
          <w:rFonts w:ascii="Times New Roman" w:hAnsi="Times New Roman" w:cs="Times New Roman"/>
          <w:sz w:val="24"/>
          <w:szCs w:val="24"/>
          <w:lang w:val="en-GB"/>
        </w:rPr>
        <w:t>,</w:t>
      </w:r>
      <w:r w:rsidRPr="00987203">
        <w:rPr>
          <w:rFonts w:ascii="Times New Roman" w:hAnsi="Times New Roman" w:cs="Times New Roman"/>
          <w:sz w:val="24"/>
          <w:szCs w:val="24"/>
          <w:lang w:val="en-GB"/>
        </w:rPr>
        <w:t xml:space="preserve"> there was an increase in the number of performed paracetamol concentration analyses in the fourth quarter of the year (fig. 6). However, it is worth noting that no tests were </w:t>
      </w:r>
      <w:r>
        <w:rPr>
          <w:rFonts w:ascii="Times New Roman" w:hAnsi="Times New Roman" w:cs="Times New Roman"/>
          <w:sz w:val="24"/>
          <w:szCs w:val="24"/>
          <w:lang w:val="en-GB"/>
        </w:rPr>
        <w:t>carried out</w:t>
      </w:r>
      <w:r w:rsidRPr="00987203">
        <w:rPr>
          <w:rFonts w:ascii="Times New Roman" w:hAnsi="Times New Roman" w:cs="Times New Roman"/>
          <w:sz w:val="24"/>
          <w:szCs w:val="24"/>
          <w:lang w:val="en-GB"/>
        </w:rPr>
        <w:t xml:space="preserve"> in July that year. Women accounted for 65% (24 tests) and men for 35% (13 tests) of all analyses of this parameter </w:t>
      </w:r>
      <w:r>
        <w:rPr>
          <w:rFonts w:ascii="Times New Roman" w:hAnsi="Times New Roman" w:cs="Times New Roman"/>
          <w:sz w:val="24"/>
          <w:szCs w:val="24"/>
          <w:lang w:val="en-GB"/>
        </w:rPr>
        <w:t>conducted</w:t>
      </w:r>
      <w:r w:rsidRPr="00987203">
        <w:rPr>
          <w:rFonts w:ascii="Times New Roman" w:hAnsi="Times New Roman" w:cs="Times New Roman"/>
          <w:sz w:val="24"/>
          <w:szCs w:val="24"/>
          <w:lang w:val="en-GB"/>
        </w:rPr>
        <w:t xml:space="preserve"> that year. In the age groups of 0-14 and 15-30, 14 tests were performed and in the 31-65 age group – 9 tests. No tests were performed in</w:t>
      </w:r>
      <w:r>
        <w:rPr>
          <w:rFonts w:ascii="Times New Roman" w:hAnsi="Times New Roman" w:cs="Times New Roman"/>
          <w:sz w:val="24"/>
          <w:szCs w:val="24"/>
          <w:lang w:val="en-GB"/>
        </w:rPr>
        <w:t xml:space="preserve"> the</w:t>
      </w:r>
      <w:r w:rsidRPr="00987203">
        <w:rPr>
          <w:rFonts w:ascii="Times New Roman" w:hAnsi="Times New Roman" w:cs="Times New Roman"/>
          <w:sz w:val="24"/>
          <w:szCs w:val="24"/>
          <w:lang w:val="en-GB"/>
        </w:rPr>
        <w:t xml:space="preserve"> age group of &gt;65 years </w:t>
      </w:r>
      <w:r>
        <w:rPr>
          <w:rFonts w:ascii="Times New Roman" w:hAnsi="Times New Roman" w:cs="Times New Roman"/>
          <w:sz w:val="24"/>
          <w:szCs w:val="24"/>
          <w:lang w:val="en-GB"/>
        </w:rPr>
        <w:t xml:space="preserve">old </w:t>
      </w:r>
      <w:r w:rsidRPr="00987203">
        <w:rPr>
          <w:rFonts w:ascii="Times New Roman" w:hAnsi="Times New Roman" w:cs="Times New Roman"/>
          <w:sz w:val="24"/>
          <w:szCs w:val="24"/>
          <w:lang w:val="en-GB"/>
        </w:rPr>
        <w:t xml:space="preserve">that year. Analysing the results in terms of the obtained concentrations, the following numbers were found: &lt;5 µg/ml -13 tests, 5-20 µg/ml - 9 tests, 20-100 µg/ml - 10 tests and &gt;100 µg/ml - 5 tests (Fig. 9). </w:t>
      </w:r>
    </w:p>
    <w:p w14:paraId="4DB463B0" w14:textId="0E59629F" w:rsidR="005C6379" w:rsidRPr="00D601AB" w:rsidRDefault="00797683" w:rsidP="00D601AB">
      <w:pPr>
        <w:keepNext/>
        <w:spacing w:line="360" w:lineRule="auto"/>
        <w:ind w:firstLine="708"/>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144D18BF" wp14:editId="49755391">
            <wp:extent cx="3935577" cy="2443277"/>
            <wp:effectExtent l="0" t="0" r="8255" b="14605"/>
            <wp:docPr id="1561278698" name="Wykres 1">
              <a:extLst xmlns:a="http://schemas.openxmlformats.org/drawingml/2006/main">
                <a:ext uri="{FF2B5EF4-FFF2-40B4-BE49-F238E27FC236}">
                  <a16:creationId xmlns:a16="http://schemas.microsoft.com/office/drawing/2014/main" id="{763CD90C-44BA-7C19-BFE1-F207B9F605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8353DC" w14:textId="1DA08B7A" w:rsidR="00191624" w:rsidRPr="005F224C" w:rsidRDefault="005C6379" w:rsidP="004D343C">
      <w:pPr>
        <w:spacing w:line="360" w:lineRule="auto"/>
        <w:jc w:val="center"/>
        <w:rPr>
          <w:rFonts w:ascii="Times New Roman" w:hAnsi="Times New Roman" w:cs="Times New Roman"/>
          <w:sz w:val="24"/>
          <w:szCs w:val="24"/>
          <w:lang w:val="en-GB"/>
        </w:rPr>
      </w:pPr>
      <w:r w:rsidRPr="004D343C">
        <w:rPr>
          <w:rFonts w:ascii="Times New Roman" w:hAnsi="Times New Roman" w:cs="Times New Roman"/>
          <w:i/>
          <w:iCs/>
          <w:sz w:val="24"/>
          <w:szCs w:val="24"/>
        </w:rPr>
        <w:t xml:space="preserve">Figure </w:t>
      </w:r>
      <w:r w:rsidR="00171FFE" w:rsidRPr="004D343C">
        <w:rPr>
          <w:rFonts w:ascii="Times New Roman" w:hAnsi="Times New Roman" w:cs="Times New Roman"/>
          <w:i/>
          <w:iCs/>
          <w:sz w:val="24"/>
          <w:szCs w:val="24"/>
        </w:rPr>
        <w:t>6</w:t>
      </w:r>
      <w:r w:rsidR="00171FFE" w:rsidRPr="00D601AB">
        <w:rPr>
          <w:rFonts w:ascii="Times New Roman" w:hAnsi="Times New Roman" w:cs="Times New Roman"/>
          <w:sz w:val="24"/>
          <w:szCs w:val="24"/>
        </w:rPr>
        <w:t xml:space="preserve"> </w:t>
      </w:r>
      <w:r w:rsidR="00797683" w:rsidRPr="00D601AB">
        <w:rPr>
          <w:rFonts w:ascii="Times New Roman" w:hAnsi="Times New Roman" w:cs="Times New Roman"/>
          <w:sz w:val="24"/>
          <w:szCs w:val="24"/>
        </w:rPr>
        <w:t xml:space="preserve"> </w:t>
      </w:r>
      <w:r w:rsidR="007D608D">
        <w:rPr>
          <w:rFonts w:ascii="Times New Roman" w:hAnsi="Times New Roman" w:cs="Times New Roman"/>
          <w:sz w:val="24"/>
          <w:szCs w:val="24"/>
          <w:lang w:val="en-GB"/>
        </w:rPr>
        <w:t>N</w:t>
      </w:r>
      <w:r w:rsidR="00191624" w:rsidRPr="005F224C">
        <w:rPr>
          <w:rFonts w:ascii="Times New Roman" w:hAnsi="Times New Roman" w:cs="Times New Roman"/>
          <w:sz w:val="24"/>
          <w:szCs w:val="24"/>
          <w:lang w:val="en-GB"/>
        </w:rPr>
        <w:t>umber of paracetamol concentration evaluations in the Toxicology Laboratory of ZDL WSzZ in Toruń in 2018 divided into individual months</w:t>
      </w:r>
    </w:p>
    <w:p w14:paraId="20EDC33A" w14:textId="3B34D77E" w:rsidR="005C6379" w:rsidRPr="00D601AB" w:rsidRDefault="005C6379" w:rsidP="00D601AB">
      <w:pPr>
        <w:pStyle w:val="Legenda"/>
        <w:spacing w:line="360" w:lineRule="auto"/>
        <w:jc w:val="center"/>
        <w:rPr>
          <w:rFonts w:ascii="Times New Roman" w:hAnsi="Times New Roman" w:cs="Times New Roman"/>
          <w:i w:val="0"/>
          <w:iCs w:val="0"/>
          <w:sz w:val="24"/>
          <w:szCs w:val="24"/>
        </w:rPr>
      </w:pPr>
    </w:p>
    <w:p w14:paraId="267F7BCB" w14:textId="77777777" w:rsidR="00665CA9" w:rsidRPr="00D601AB" w:rsidRDefault="00665CA9"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lastRenderedPageBreak/>
        <w:drawing>
          <wp:inline distT="0" distB="0" distL="0" distR="0" wp14:anchorId="5F082999" wp14:editId="5F44E8DB">
            <wp:extent cx="2247900" cy="1795463"/>
            <wp:effectExtent l="0" t="0" r="0" b="14605"/>
            <wp:docPr id="245240234" name="Wykres 1">
              <a:extLst xmlns:a="http://schemas.openxmlformats.org/drawingml/2006/main">
                <a:ext uri="{FF2B5EF4-FFF2-40B4-BE49-F238E27FC236}">
                  <a16:creationId xmlns:a16="http://schemas.microsoft.com/office/drawing/2014/main" id="{636782D5-22BA-64B8-D9CA-748FD67037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54A78" w14:textId="0E21842C" w:rsidR="00665CA9" w:rsidRPr="00D601AB" w:rsidRDefault="00665CA9"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7</w:t>
      </w:r>
      <w:r w:rsidR="001A2630" w:rsidRPr="00D601AB">
        <w:rPr>
          <w:rFonts w:ascii="Times New Roman" w:hAnsi="Times New Roman" w:cs="Times New Roman"/>
          <w:i w:val="0"/>
          <w:iCs w:val="0"/>
          <w:sz w:val="24"/>
          <w:szCs w:val="24"/>
        </w:rPr>
        <w:t xml:space="preserve"> </w:t>
      </w:r>
      <w:r w:rsidR="005D5914" w:rsidRPr="005D5914">
        <w:rPr>
          <w:rFonts w:ascii="Times New Roman" w:hAnsi="Times New Roman" w:cs="Times New Roman"/>
          <w:i w:val="0"/>
          <w:iCs w:val="0"/>
          <w:sz w:val="24"/>
          <w:szCs w:val="24"/>
          <w:lang w:val="en-GB"/>
        </w:rPr>
        <w:t>Number of paracetamol concentration evaluations in the Toxicology Laboratory of ZDL WSzZ in Toruń in 2018 divided by gender</w:t>
      </w:r>
    </w:p>
    <w:p w14:paraId="0822FB2A" w14:textId="71A5F87D" w:rsidR="007B16AD" w:rsidRPr="00D601AB" w:rsidRDefault="007B16AD" w:rsidP="00D601AB">
      <w:pPr>
        <w:keepNext/>
        <w:spacing w:line="360" w:lineRule="auto"/>
        <w:jc w:val="center"/>
        <w:rPr>
          <w:rFonts w:ascii="Times New Roman" w:hAnsi="Times New Roman" w:cs="Times New Roman"/>
          <w:sz w:val="24"/>
          <w:szCs w:val="24"/>
        </w:rPr>
      </w:pPr>
    </w:p>
    <w:p w14:paraId="1C5A6680" w14:textId="560A23AD" w:rsidR="0033721C" w:rsidRPr="00D601AB" w:rsidRDefault="00BD4E23" w:rsidP="00D601AB">
      <w:pPr>
        <w:keepNext/>
        <w:spacing w:line="360" w:lineRule="auto"/>
        <w:jc w:val="center"/>
        <w:rPr>
          <w:rFonts w:ascii="Times New Roman" w:hAnsi="Times New Roman" w:cs="Times New Roman"/>
          <w:sz w:val="24"/>
          <w:szCs w:val="24"/>
        </w:rPr>
      </w:pPr>
      <w:r>
        <w:rPr>
          <w:noProof/>
        </w:rPr>
        <w:drawing>
          <wp:inline distT="0" distB="0" distL="0" distR="0" wp14:anchorId="5E079031" wp14:editId="382ABA61">
            <wp:extent cx="2943225" cy="1947545"/>
            <wp:effectExtent l="0" t="0" r="9525" b="14605"/>
            <wp:docPr id="1405669612" name="Wykres 1">
              <a:extLst xmlns:a="http://schemas.openxmlformats.org/drawingml/2006/main">
                <a:ext uri="{FF2B5EF4-FFF2-40B4-BE49-F238E27FC236}">
                  <a16:creationId xmlns:a16="http://schemas.microsoft.com/office/drawing/2014/main" id="{4E859AF7-5C74-7416-BF13-C24E5B883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E0736A" w14:textId="26882DAD" w:rsidR="0033721C" w:rsidRPr="00D601AB" w:rsidRDefault="0033721C"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8</w:t>
      </w:r>
      <w:r w:rsidRPr="00D601AB">
        <w:rPr>
          <w:rFonts w:ascii="Times New Roman" w:hAnsi="Times New Roman" w:cs="Times New Roman"/>
          <w:sz w:val="24"/>
          <w:szCs w:val="24"/>
        </w:rPr>
        <w:t xml:space="preserve"> </w:t>
      </w:r>
      <w:r w:rsidR="00D178E8" w:rsidRPr="00D178E8">
        <w:rPr>
          <w:rFonts w:ascii="Times New Roman" w:hAnsi="Times New Roman" w:cs="Times New Roman"/>
          <w:i w:val="0"/>
          <w:iCs w:val="0"/>
          <w:sz w:val="24"/>
          <w:szCs w:val="24"/>
          <w:lang w:val="en-GB"/>
        </w:rPr>
        <w:t>Number of paracetamol concentration evaluations in the Toxicology Laboratory of ZDL WSzZ in Toruń in 2018 divided into individual age groups</w:t>
      </w:r>
    </w:p>
    <w:p w14:paraId="74C05480" w14:textId="74B892E0" w:rsidR="00EA1975" w:rsidRPr="00D601AB" w:rsidRDefault="0030711A"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67E7A3F8" wp14:editId="5F234858">
            <wp:extent cx="2943225" cy="1933576"/>
            <wp:effectExtent l="0" t="0" r="9525" b="9525"/>
            <wp:docPr id="1047219759" name="Wykres 1">
              <a:extLst xmlns:a="http://schemas.openxmlformats.org/drawingml/2006/main">
                <a:ext uri="{FF2B5EF4-FFF2-40B4-BE49-F238E27FC236}">
                  <a16:creationId xmlns:a16="http://schemas.microsoft.com/office/drawing/2014/main" id="{8186DB45-F4CA-B4EA-1EDC-B03EB8A1C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845848" w14:textId="6F06E1BE" w:rsidR="005C6379" w:rsidRPr="00D601AB" w:rsidRDefault="00EA1975" w:rsidP="007D608D">
      <w:pPr>
        <w:pStyle w:val="Legenda"/>
        <w:spacing w:line="360" w:lineRule="auto"/>
        <w:jc w:val="center"/>
        <w:rPr>
          <w:rFonts w:ascii="Times New Roman" w:hAnsi="Times New Roman" w:cs="Times New Roman"/>
          <w:b/>
          <w:bCs/>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9</w:t>
      </w:r>
      <w:r w:rsidRPr="00D601AB">
        <w:rPr>
          <w:rFonts w:ascii="Times New Roman" w:hAnsi="Times New Roman" w:cs="Times New Roman"/>
          <w:sz w:val="24"/>
          <w:szCs w:val="24"/>
        </w:rPr>
        <w:t xml:space="preserve"> </w:t>
      </w:r>
      <w:r w:rsidR="00BC6D66" w:rsidRPr="00BC6D66">
        <w:rPr>
          <w:rFonts w:ascii="Times New Roman" w:hAnsi="Times New Roman" w:cs="Times New Roman"/>
          <w:i w:val="0"/>
          <w:iCs w:val="0"/>
          <w:sz w:val="24"/>
          <w:szCs w:val="24"/>
          <w:lang w:val="en-GB"/>
        </w:rPr>
        <w:t>Number of paracetamol concentration evaluations in Toxicology Laboratory of ZDL WSzZ in Toruń in 2018 divided into obtained concentrations</w:t>
      </w:r>
    </w:p>
    <w:p w14:paraId="5E0B7F6E" w14:textId="5F8B795E" w:rsidR="003004E9" w:rsidRPr="00D601AB" w:rsidRDefault="003004E9" w:rsidP="00D601AB">
      <w:pPr>
        <w:spacing w:line="360" w:lineRule="auto"/>
        <w:rPr>
          <w:rFonts w:ascii="Times New Roman" w:hAnsi="Times New Roman" w:cs="Times New Roman"/>
          <w:b/>
          <w:bCs/>
          <w:sz w:val="24"/>
          <w:szCs w:val="24"/>
        </w:rPr>
      </w:pPr>
      <w:r w:rsidRPr="00D601AB">
        <w:rPr>
          <w:rFonts w:ascii="Times New Roman" w:hAnsi="Times New Roman" w:cs="Times New Roman"/>
          <w:b/>
          <w:bCs/>
          <w:sz w:val="24"/>
          <w:szCs w:val="24"/>
        </w:rPr>
        <w:t>2019</w:t>
      </w:r>
    </w:p>
    <w:p w14:paraId="17F5E12E" w14:textId="281BA3E2" w:rsidR="007D608D" w:rsidRDefault="007D608D" w:rsidP="007D608D">
      <w:pPr>
        <w:keepNext/>
        <w:spacing w:line="360" w:lineRule="auto"/>
        <w:ind w:firstLine="708"/>
        <w:jc w:val="both"/>
        <w:rPr>
          <w:rFonts w:ascii="Times New Roman" w:hAnsi="Times New Roman" w:cs="Times New Roman"/>
          <w:sz w:val="24"/>
          <w:szCs w:val="24"/>
          <w:lang w:val="en-GB"/>
        </w:rPr>
      </w:pPr>
      <w:r w:rsidRPr="000F5EF4">
        <w:rPr>
          <w:rFonts w:ascii="Times New Roman" w:hAnsi="Times New Roman" w:cs="Times New Roman"/>
          <w:sz w:val="24"/>
          <w:szCs w:val="24"/>
          <w:lang w:val="en-GB"/>
        </w:rPr>
        <w:lastRenderedPageBreak/>
        <w:t>In 2019</w:t>
      </w:r>
      <w:r>
        <w:rPr>
          <w:rFonts w:ascii="Times New Roman" w:hAnsi="Times New Roman" w:cs="Times New Roman"/>
          <w:sz w:val="24"/>
          <w:szCs w:val="24"/>
          <w:lang w:val="en-GB"/>
        </w:rPr>
        <w:t xml:space="preserve">, </w:t>
      </w:r>
      <w:r w:rsidRPr="000F5EF4">
        <w:rPr>
          <w:rFonts w:ascii="Times New Roman" w:hAnsi="Times New Roman" w:cs="Times New Roman"/>
          <w:sz w:val="24"/>
          <w:szCs w:val="24"/>
          <w:lang w:val="en-GB"/>
        </w:rPr>
        <w:t>a downward trend in</w:t>
      </w:r>
      <w:r>
        <w:rPr>
          <w:rFonts w:ascii="Times New Roman" w:hAnsi="Times New Roman" w:cs="Times New Roman"/>
          <w:sz w:val="24"/>
          <w:szCs w:val="24"/>
          <w:lang w:val="en-GB"/>
        </w:rPr>
        <w:t xml:space="preserve"> the</w:t>
      </w:r>
      <w:r w:rsidRPr="000F5EF4">
        <w:rPr>
          <w:rFonts w:ascii="Times New Roman" w:hAnsi="Times New Roman" w:cs="Times New Roman"/>
          <w:sz w:val="24"/>
          <w:szCs w:val="24"/>
          <w:lang w:val="en-GB"/>
        </w:rPr>
        <w:t xml:space="preserve"> number of determinations was observed in the first quarter (fig. 10). Similarly to the year before, paracetamol tests in women accounted for 68% (39 tests) and in men for 32% (18 tests) of all analyses of this parameter (fig. 11). Most tests were performed in the age group of 15-30 (27 tests) and the fewest were </w:t>
      </w:r>
      <w:r>
        <w:rPr>
          <w:rFonts w:ascii="Times New Roman" w:hAnsi="Times New Roman" w:cs="Times New Roman"/>
          <w:sz w:val="24"/>
          <w:szCs w:val="24"/>
          <w:lang w:val="en-GB"/>
        </w:rPr>
        <w:t>conducted</w:t>
      </w:r>
      <w:r w:rsidRPr="000F5EF4">
        <w:rPr>
          <w:rFonts w:ascii="Times New Roman" w:hAnsi="Times New Roman" w:cs="Times New Roman"/>
          <w:sz w:val="24"/>
          <w:szCs w:val="24"/>
          <w:lang w:val="en-GB"/>
        </w:rPr>
        <w:t xml:space="preserve"> on patients over 65 years of age (2 tests) (fig. 12). The following results were obtained when analysing the results in terms of the obtained concentrations: &lt;5 µg/ml - 16 tests, 5-20 µg/ml - 12 tests, 20</w:t>
      </w:r>
      <w:r>
        <w:rPr>
          <w:rFonts w:ascii="Times New Roman" w:hAnsi="Times New Roman" w:cs="Times New Roman"/>
          <w:sz w:val="24"/>
          <w:szCs w:val="24"/>
          <w:lang w:val="en-GB"/>
        </w:rPr>
        <w:t>- </w:t>
      </w:r>
      <w:r w:rsidRPr="000F5EF4">
        <w:rPr>
          <w:rFonts w:ascii="Times New Roman" w:hAnsi="Times New Roman" w:cs="Times New Roman"/>
          <w:sz w:val="24"/>
          <w:szCs w:val="24"/>
          <w:lang w:val="en-GB"/>
        </w:rPr>
        <w:t>100 µg/ml - 22 tests, over 100 µg/ml - 7 tests (fig. 13).</w:t>
      </w:r>
    </w:p>
    <w:p w14:paraId="23E3132C" w14:textId="56C67EA8" w:rsidR="003004E9" w:rsidRPr="00D601AB" w:rsidRDefault="003004E9" w:rsidP="00D601AB">
      <w:pPr>
        <w:keepNext/>
        <w:spacing w:line="360" w:lineRule="auto"/>
        <w:ind w:firstLine="708"/>
        <w:jc w:val="both"/>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0F012F61" wp14:editId="4E29FDB2">
            <wp:extent cx="4067251" cy="2399385"/>
            <wp:effectExtent l="0" t="0" r="9525" b="1270"/>
            <wp:docPr id="2095831008" name="Wykres 1">
              <a:extLst xmlns:a="http://schemas.openxmlformats.org/drawingml/2006/main">
                <a:ext uri="{FF2B5EF4-FFF2-40B4-BE49-F238E27FC236}">
                  <a16:creationId xmlns:a16="http://schemas.microsoft.com/office/drawing/2014/main" id="{0D82BACB-59A5-123C-A981-CA8ACBE88B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6C75C9" w14:textId="614477BF" w:rsidR="003004E9" w:rsidRPr="00D601AB" w:rsidRDefault="003004E9" w:rsidP="001C3A10">
      <w:pPr>
        <w:pStyle w:val="Legenda"/>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 xml:space="preserve">10 </w:t>
      </w:r>
      <w:r w:rsidRPr="00D601AB">
        <w:rPr>
          <w:rFonts w:ascii="Times New Roman" w:hAnsi="Times New Roman" w:cs="Times New Roman"/>
          <w:sz w:val="24"/>
          <w:szCs w:val="24"/>
        </w:rPr>
        <w:t xml:space="preserve"> </w:t>
      </w:r>
      <w:r w:rsidR="00F53066" w:rsidRPr="003D1550">
        <w:rPr>
          <w:rFonts w:ascii="Times New Roman" w:hAnsi="Times New Roman" w:cs="Times New Roman"/>
          <w:i w:val="0"/>
          <w:iCs w:val="0"/>
          <w:sz w:val="24"/>
          <w:szCs w:val="24"/>
          <w:lang w:val="en-GB"/>
        </w:rPr>
        <w:t>Number of paracetamol concentration evaluations in the Toxicology Laboratory of ZDL WSzZ in Toruń in 2019 divided into individual months</w:t>
      </w:r>
    </w:p>
    <w:p w14:paraId="577C6699" w14:textId="77777777" w:rsidR="003004E9" w:rsidRPr="00D601AB" w:rsidRDefault="003004E9"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043C7570" wp14:editId="4F8C73EC">
            <wp:extent cx="2286000" cy="1824038"/>
            <wp:effectExtent l="0" t="0" r="0" b="5080"/>
            <wp:docPr id="1649458854" name="Wykres 1">
              <a:extLst xmlns:a="http://schemas.openxmlformats.org/drawingml/2006/main">
                <a:ext uri="{FF2B5EF4-FFF2-40B4-BE49-F238E27FC236}">
                  <a16:creationId xmlns:a16="http://schemas.microsoft.com/office/drawing/2014/main" id="{7274C1C6-205A-8C7B-D550-C0422B8F39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2503F5" w14:textId="210392CB" w:rsidR="003004E9" w:rsidRPr="003D1550" w:rsidRDefault="003004E9"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11</w:t>
      </w:r>
      <w:r w:rsidRPr="00D601AB">
        <w:rPr>
          <w:rFonts w:ascii="Times New Roman" w:hAnsi="Times New Roman" w:cs="Times New Roman"/>
          <w:sz w:val="24"/>
          <w:szCs w:val="24"/>
        </w:rPr>
        <w:t xml:space="preserve"> </w:t>
      </w:r>
      <w:r w:rsidR="00D03544" w:rsidRPr="003D1550">
        <w:rPr>
          <w:rFonts w:ascii="Times New Roman" w:hAnsi="Times New Roman" w:cs="Times New Roman"/>
          <w:i w:val="0"/>
          <w:iCs w:val="0"/>
          <w:sz w:val="24"/>
          <w:szCs w:val="24"/>
          <w:lang w:val="en-GB"/>
        </w:rPr>
        <w:t>Number of paracetamol concentration evaluations in the Toxicology Laboratory of ZDL WSzZ in Toruń in 2019 divided by gender</w:t>
      </w:r>
    </w:p>
    <w:p w14:paraId="04F2F417" w14:textId="472792EE" w:rsidR="00C30779" w:rsidRPr="00D601AB" w:rsidRDefault="00BD4E23" w:rsidP="00D601AB">
      <w:pPr>
        <w:keepNext/>
        <w:spacing w:line="360" w:lineRule="auto"/>
        <w:jc w:val="center"/>
        <w:rPr>
          <w:rFonts w:ascii="Times New Roman" w:hAnsi="Times New Roman" w:cs="Times New Roman"/>
          <w:sz w:val="24"/>
          <w:szCs w:val="24"/>
        </w:rPr>
      </w:pPr>
      <w:r>
        <w:rPr>
          <w:noProof/>
        </w:rPr>
        <w:lastRenderedPageBreak/>
        <w:drawing>
          <wp:inline distT="0" distB="0" distL="0" distR="0" wp14:anchorId="543C9F15" wp14:editId="3AFDB112">
            <wp:extent cx="2838450" cy="2009775"/>
            <wp:effectExtent l="0" t="0" r="0" b="9525"/>
            <wp:docPr id="1822115462" name="Wykres 1">
              <a:extLst xmlns:a="http://schemas.openxmlformats.org/drawingml/2006/main">
                <a:ext uri="{FF2B5EF4-FFF2-40B4-BE49-F238E27FC236}">
                  <a16:creationId xmlns:a16="http://schemas.microsoft.com/office/drawing/2014/main" id="{7E5EC778-AF0C-0819-44EC-68B8DDD7F3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519F57" w14:textId="7D8D39B5" w:rsidR="00C30779" w:rsidRPr="002D125E" w:rsidRDefault="00C30779" w:rsidP="002D125E">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Figure</w:t>
      </w:r>
      <w:r w:rsidR="00171FFE" w:rsidRPr="00D601AB">
        <w:rPr>
          <w:rFonts w:ascii="Times New Roman" w:hAnsi="Times New Roman" w:cs="Times New Roman"/>
          <w:sz w:val="24"/>
          <w:szCs w:val="24"/>
        </w:rPr>
        <w:t xml:space="preserve"> 12 </w:t>
      </w:r>
      <w:r w:rsidRPr="00D601AB">
        <w:rPr>
          <w:rFonts w:ascii="Times New Roman" w:hAnsi="Times New Roman" w:cs="Times New Roman"/>
          <w:sz w:val="24"/>
          <w:szCs w:val="24"/>
        </w:rPr>
        <w:t xml:space="preserve"> </w:t>
      </w:r>
      <w:r w:rsidR="002D125E" w:rsidRPr="003D1550">
        <w:rPr>
          <w:rFonts w:ascii="Times New Roman" w:hAnsi="Times New Roman" w:cs="Times New Roman"/>
          <w:i w:val="0"/>
          <w:iCs w:val="0"/>
          <w:sz w:val="24"/>
          <w:szCs w:val="24"/>
          <w:lang w:val="en-GB"/>
        </w:rPr>
        <w:t>Number of paracetamol concentration evaluations in the Toxicology Laboratory of ZDL WSzZ in Toruń in 2019 divided into individual age groups</w:t>
      </w:r>
    </w:p>
    <w:p w14:paraId="4A929757" w14:textId="52E4315A" w:rsidR="00C30779" w:rsidRPr="00D601AB" w:rsidRDefault="002169D6"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17463A8A" wp14:editId="229866FA">
            <wp:extent cx="2981325" cy="2419349"/>
            <wp:effectExtent l="0" t="0" r="9525" b="635"/>
            <wp:docPr id="1784160838" name="Wykres 1">
              <a:extLst xmlns:a="http://schemas.openxmlformats.org/drawingml/2006/main">
                <a:ext uri="{FF2B5EF4-FFF2-40B4-BE49-F238E27FC236}">
                  <a16:creationId xmlns:a16="http://schemas.microsoft.com/office/drawing/2014/main" id="{12D9D4A7-E0CB-0110-8C2C-5CDFB1223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0D533C" w14:textId="2C7F0F59" w:rsidR="00C30779" w:rsidRPr="00D601AB" w:rsidRDefault="00C30779" w:rsidP="00D601AB">
      <w:pPr>
        <w:pStyle w:val="Legenda"/>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13</w:t>
      </w:r>
      <w:r w:rsidRPr="00D601AB">
        <w:rPr>
          <w:rFonts w:ascii="Times New Roman" w:hAnsi="Times New Roman" w:cs="Times New Roman"/>
          <w:sz w:val="24"/>
          <w:szCs w:val="24"/>
        </w:rPr>
        <w:t xml:space="preserve"> </w:t>
      </w:r>
      <w:r w:rsidR="003D1550" w:rsidRPr="003D1550">
        <w:rPr>
          <w:rFonts w:ascii="Times New Roman" w:hAnsi="Times New Roman" w:cs="Times New Roman"/>
          <w:i w:val="0"/>
          <w:iCs w:val="0"/>
          <w:sz w:val="24"/>
          <w:szCs w:val="24"/>
          <w:lang w:val="en-GB"/>
        </w:rPr>
        <w:t>Number of paracetamol concentration evaluations in Toxicology Laboratory of ZDL WSzZ in Toruń in 201</w:t>
      </w:r>
      <w:r w:rsidR="00626FC6">
        <w:rPr>
          <w:rFonts w:ascii="Times New Roman" w:hAnsi="Times New Roman" w:cs="Times New Roman"/>
          <w:i w:val="0"/>
          <w:iCs w:val="0"/>
          <w:sz w:val="24"/>
          <w:szCs w:val="24"/>
          <w:lang w:val="en-GB"/>
        </w:rPr>
        <w:t>9</w:t>
      </w:r>
      <w:r w:rsidR="003D1550" w:rsidRPr="003D1550">
        <w:rPr>
          <w:rFonts w:ascii="Times New Roman" w:hAnsi="Times New Roman" w:cs="Times New Roman"/>
          <w:i w:val="0"/>
          <w:iCs w:val="0"/>
          <w:sz w:val="24"/>
          <w:szCs w:val="24"/>
          <w:lang w:val="en-GB"/>
        </w:rPr>
        <w:t xml:space="preserve"> divided into obtained concentrations</w:t>
      </w:r>
    </w:p>
    <w:p w14:paraId="3CC1D084" w14:textId="5D640723" w:rsidR="003004E9" w:rsidRPr="00D601AB" w:rsidRDefault="003004E9" w:rsidP="00D601AB">
      <w:pPr>
        <w:pStyle w:val="Legenda"/>
        <w:spacing w:line="360" w:lineRule="auto"/>
        <w:jc w:val="center"/>
        <w:rPr>
          <w:rFonts w:ascii="Times New Roman" w:hAnsi="Times New Roman" w:cs="Times New Roman"/>
          <w:sz w:val="24"/>
          <w:szCs w:val="24"/>
        </w:rPr>
      </w:pPr>
    </w:p>
    <w:p w14:paraId="3AEACEFE" w14:textId="41BE9E96" w:rsidR="00A94404" w:rsidRPr="00D601AB" w:rsidRDefault="00A94404" w:rsidP="00BD27C5">
      <w:pPr>
        <w:spacing w:line="360" w:lineRule="auto"/>
        <w:rPr>
          <w:rFonts w:ascii="Times New Roman" w:hAnsi="Times New Roman" w:cs="Times New Roman"/>
          <w:b/>
          <w:bCs/>
          <w:sz w:val="24"/>
          <w:szCs w:val="24"/>
        </w:rPr>
      </w:pPr>
      <w:r w:rsidRPr="00D601AB">
        <w:rPr>
          <w:rFonts w:ascii="Times New Roman" w:hAnsi="Times New Roman" w:cs="Times New Roman"/>
          <w:b/>
          <w:bCs/>
          <w:sz w:val="24"/>
          <w:szCs w:val="24"/>
        </w:rPr>
        <w:t>2020</w:t>
      </w:r>
    </w:p>
    <w:p w14:paraId="18EBCA80" w14:textId="3DD07F17" w:rsidR="00A77141" w:rsidRPr="00FC342C" w:rsidRDefault="00A77141" w:rsidP="00A77141">
      <w:pPr>
        <w:spacing w:line="360" w:lineRule="auto"/>
        <w:ind w:firstLine="708"/>
        <w:jc w:val="both"/>
        <w:rPr>
          <w:rFonts w:ascii="Times New Roman" w:hAnsi="Times New Roman" w:cs="Times New Roman"/>
          <w:sz w:val="24"/>
          <w:szCs w:val="24"/>
          <w:lang w:val="en-GB"/>
        </w:rPr>
      </w:pPr>
      <w:r w:rsidRPr="00FC342C">
        <w:rPr>
          <w:rFonts w:ascii="Times New Roman" w:hAnsi="Times New Roman" w:cs="Times New Roman"/>
          <w:sz w:val="24"/>
          <w:szCs w:val="24"/>
          <w:lang w:val="en-GB"/>
        </w:rPr>
        <w:t>In 2020</w:t>
      </w:r>
      <w:r>
        <w:rPr>
          <w:rFonts w:ascii="Times New Roman" w:hAnsi="Times New Roman" w:cs="Times New Roman"/>
          <w:sz w:val="24"/>
          <w:szCs w:val="24"/>
          <w:lang w:val="en-GB"/>
        </w:rPr>
        <w:t>,</w:t>
      </w:r>
      <w:r w:rsidRPr="00FC342C">
        <w:rPr>
          <w:rFonts w:ascii="Times New Roman" w:hAnsi="Times New Roman" w:cs="Times New Roman"/>
          <w:sz w:val="24"/>
          <w:szCs w:val="24"/>
          <w:lang w:val="en-GB"/>
        </w:rPr>
        <w:t xml:space="preserve"> most paracetamol concentration evaluations were made in September and December, while none were made in August (fig. 14). Similarly to previous years, paracetamol tests in women accounted for 63% (31 determinations) and in men for 37% (18 determinations) of all analyses of this parameter (fig. 15). It was found that: 14 tests were performed in the 0-14 </w:t>
      </w:r>
      <w:r>
        <w:rPr>
          <w:rFonts w:ascii="Times New Roman" w:hAnsi="Times New Roman" w:cs="Times New Roman"/>
          <w:sz w:val="24"/>
          <w:szCs w:val="24"/>
          <w:lang w:val="en-GB"/>
        </w:rPr>
        <w:t>age group</w:t>
      </w:r>
      <w:r w:rsidRPr="00FC342C">
        <w:rPr>
          <w:rFonts w:ascii="Times New Roman" w:hAnsi="Times New Roman" w:cs="Times New Roman"/>
          <w:sz w:val="24"/>
          <w:szCs w:val="24"/>
          <w:lang w:val="en-GB"/>
        </w:rPr>
        <w:t xml:space="preserve">, 23 in </w:t>
      </w:r>
      <w:r>
        <w:rPr>
          <w:rFonts w:ascii="Times New Roman" w:hAnsi="Times New Roman" w:cs="Times New Roman"/>
          <w:sz w:val="24"/>
          <w:szCs w:val="24"/>
          <w:lang w:val="en-GB"/>
        </w:rPr>
        <w:t>the</w:t>
      </w:r>
      <w:r w:rsidRPr="00FC342C">
        <w:rPr>
          <w:rFonts w:ascii="Times New Roman" w:hAnsi="Times New Roman" w:cs="Times New Roman"/>
          <w:sz w:val="24"/>
          <w:szCs w:val="24"/>
          <w:lang w:val="en-GB"/>
        </w:rPr>
        <w:t xml:space="preserve"> 15-30 age group, 11 in 31-65 age group and the fewest tests in patients over 65 years of age – 1 test (fig. 16). The range</w:t>
      </w:r>
      <w:r>
        <w:rPr>
          <w:rFonts w:ascii="Times New Roman" w:hAnsi="Times New Roman" w:cs="Times New Roman"/>
          <w:sz w:val="24"/>
          <w:szCs w:val="24"/>
          <w:lang w:val="en-GB"/>
        </w:rPr>
        <w:t>s</w:t>
      </w:r>
      <w:r w:rsidRPr="00FC342C">
        <w:rPr>
          <w:rFonts w:ascii="Times New Roman" w:hAnsi="Times New Roman" w:cs="Times New Roman"/>
          <w:sz w:val="24"/>
          <w:szCs w:val="24"/>
          <w:lang w:val="en-GB"/>
        </w:rPr>
        <w:t xml:space="preserve"> of obtained paracetamol concentrations were as follows: &lt;5 µg/ml - 17 tests, 5-20 µg/ml - 9 tests, 20-100 µg/ml - 20 tests and over 100 </w:t>
      </w:r>
      <w:r>
        <w:rPr>
          <w:rFonts w:ascii="Times New Roman" w:hAnsi="Times New Roman" w:cs="Times New Roman"/>
          <w:sz w:val="24"/>
          <w:szCs w:val="24"/>
          <w:lang w:val="en-GB"/>
        </w:rPr>
        <w:t> </w:t>
      </w:r>
      <w:r w:rsidRPr="00FC342C">
        <w:rPr>
          <w:rFonts w:ascii="Times New Roman" w:hAnsi="Times New Roman" w:cs="Times New Roman"/>
          <w:sz w:val="24"/>
          <w:szCs w:val="24"/>
          <w:lang w:val="en-GB"/>
        </w:rPr>
        <w:t xml:space="preserve">µg/ml </w:t>
      </w:r>
      <w:r>
        <w:rPr>
          <w:rFonts w:ascii="Times New Roman" w:hAnsi="Times New Roman" w:cs="Times New Roman"/>
          <w:sz w:val="24"/>
          <w:szCs w:val="24"/>
          <w:lang w:val="en-GB"/>
        </w:rPr>
        <w:t> </w:t>
      </w:r>
      <w:r w:rsidRPr="00FC342C">
        <w:rPr>
          <w:rFonts w:ascii="Times New Roman" w:hAnsi="Times New Roman" w:cs="Times New Roman"/>
          <w:sz w:val="24"/>
          <w:szCs w:val="24"/>
          <w:lang w:val="en-GB"/>
        </w:rPr>
        <w:t>- 5 tests (Fig. 17).</w:t>
      </w:r>
    </w:p>
    <w:p w14:paraId="2F92E320" w14:textId="77777777" w:rsidR="0082715F" w:rsidRPr="00D601AB" w:rsidRDefault="0082715F"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lastRenderedPageBreak/>
        <w:drawing>
          <wp:inline distT="0" distB="0" distL="0" distR="0" wp14:anchorId="5B2B3568" wp14:editId="2FA7F7BB">
            <wp:extent cx="4096512" cy="2560320"/>
            <wp:effectExtent l="0" t="0" r="18415" b="11430"/>
            <wp:docPr id="309476338" name="Wykres 1">
              <a:extLst xmlns:a="http://schemas.openxmlformats.org/drawingml/2006/main">
                <a:ext uri="{FF2B5EF4-FFF2-40B4-BE49-F238E27FC236}">
                  <a16:creationId xmlns:a16="http://schemas.microsoft.com/office/drawing/2014/main" id="{0E9F97F4-A782-A42D-D949-7FEE74FF7C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A525A6" w14:textId="601115EA" w:rsidR="00A94404" w:rsidRPr="001565C0" w:rsidRDefault="0082715F"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14</w:t>
      </w:r>
      <w:r w:rsidRPr="00D601AB">
        <w:rPr>
          <w:rFonts w:ascii="Times New Roman" w:hAnsi="Times New Roman" w:cs="Times New Roman"/>
          <w:sz w:val="24"/>
          <w:szCs w:val="24"/>
        </w:rPr>
        <w:t xml:space="preserve"> </w:t>
      </w:r>
      <w:r w:rsidR="001565C0" w:rsidRPr="001565C0">
        <w:rPr>
          <w:rFonts w:ascii="Times New Roman" w:hAnsi="Times New Roman" w:cs="Times New Roman"/>
          <w:i w:val="0"/>
          <w:iCs w:val="0"/>
          <w:sz w:val="24"/>
          <w:szCs w:val="24"/>
          <w:lang w:val="en-GB"/>
        </w:rPr>
        <w:t>Number of paracetamol concentration evaluations in the Toxicology Laboratory of ZDL WSzZ in Toruń in 2020 divided into individual months</w:t>
      </w:r>
    </w:p>
    <w:p w14:paraId="6DF3DE0F" w14:textId="77777777" w:rsidR="0082715F" w:rsidRPr="00D601AB" w:rsidRDefault="0082715F"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6901BBE4" wp14:editId="6E401562">
            <wp:extent cx="2305050" cy="1852613"/>
            <wp:effectExtent l="0" t="0" r="0" b="14605"/>
            <wp:docPr id="115843020" name="Wykres 1">
              <a:extLst xmlns:a="http://schemas.openxmlformats.org/drawingml/2006/main">
                <a:ext uri="{FF2B5EF4-FFF2-40B4-BE49-F238E27FC236}">
                  <a16:creationId xmlns:a16="http://schemas.microsoft.com/office/drawing/2014/main" id="{E7F7EE42-9A75-8378-C4C3-2218EDD0DB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1CD764" w14:textId="22FC443F" w:rsidR="0082715F" w:rsidRPr="00D601AB" w:rsidRDefault="0082715F"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Pr="00D601AB">
        <w:rPr>
          <w:rFonts w:ascii="Times New Roman" w:hAnsi="Times New Roman" w:cs="Times New Roman"/>
          <w:sz w:val="24"/>
          <w:szCs w:val="24"/>
        </w:rPr>
        <w:fldChar w:fldCharType="begin"/>
      </w:r>
      <w:r w:rsidRPr="00D601AB">
        <w:rPr>
          <w:rFonts w:ascii="Times New Roman" w:hAnsi="Times New Roman" w:cs="Times New Roman"/>
          <w:sz w:val="24"/>
          <w:szCs w:val="24"/>
        </w:rPr>
        <w:instrText xml:space="preserve"> SEQ Figure \* ARABIC </w:instrText>
      </w:r>
      <w:r w:rsidRPr="00D601AB">
        <w:rPr>
          <w:rFonts w:ascii="Times New Roman" w:hAnsi="Times New Roman" w:cs="Times New Roman"/>
          <w:sz w:val="24"/>
          <w:szCs w:val="24"/>
        </w:rPr>
        <w:fldChar w:fldCharType="separate"/>
      </w:r>
      <w:r w:rsidR="00606DDD" w:rsidRPr="00D601AB">
        <w:rPr>
          <w:rFonts w:ascii="Times New Roman" w:hAnsi="Times New Roman" w:cs="Times New Roman"/>
          <w:noProof/>
          <w:sz w:val="24"/>
          <w:szCs w:val="24"/>
        </w:rPr>
        <w:t>1</w:t>
      </w:r>
      <w:r w:rsidR="00171FFE" w:rsidRPr="00D601AB">
        <w:rPr>
          <w:rFonts w:ascii="Times New Roman" w:hAnsi="Times New Roman" w:cs="Times New Roman"/>
          <w:noProof/>
          <w:sz w:val="24"/>
          <w:szCs w:val="24"/>
        </w:rPr>
        <w:t>5</w:t>
      </w:r>
      <w:r w:rsidRPr="00D601AB">
        <w:rPr>
          <w:rFonts w:ascii="Times New Roman" w:hAnsi="Times New Roman" w:cs="Times New Roman"/>
          <w:noProof/>
          <w:sz w:val="24"/>
          <w:szCs w:val="24"/>
        </w:rPr>
        <w:fldChar w:fldCharType="end"/>
      </w:r>
      <w:r w:rsidRPr="00D601AB">
        <w:rPr>
          <w:rFonts w:ascii="Times New Roman" w:hAnsi="Times New Roman" w:cs="Times New Roman"/>
          <w:sz w:val="24"/>
          <w:szCs w:val="24"/>
        </w:rPr>
        <w:t xml:space="preserve"> </w:t>
      </w:r>
      <w:r w:rsidR="00DA6FCE" w:rsidRPr="00DA6FCE">
        <w:rPr>
          <w:rFonts w:ascii="Times New Roman" w:hAnsi="Times New Roman" w:cs="Times New Roman"/>
          <w:i w:val="0"/>
          <w:iCs w:val="0"/>
          <w:sz w:val="24"/>
          <w:szCs w:val="24"/>
          <w:lang w:val="en-GB"/>
        </w:rPr>
        <w:t>Number of paracetamol concentration evaluations in the Toxicology Laboratory of ZDL WSzZ in Toruń in 2020 divided by gender</w:t>
      </w:r>
    </w:p>
    <w:p w14:paraId="67CCC658" w14:textId="71686BCE" w:rsidR="00127ABD" w:rsidRPr="00D601AB" w:rsidRDefault="003962E8" w:rsidP="00D601AB">
      <w:pPr>
        <w:keepNext/>
        <w:spacing w:line="360" w:lineRule="auto"/>
        <w:jc w:val="center"/>
        <w:rPr>
          <w:rFonts w:ascii="Times New Roman" w:hAnsi="Times New Roman" w:cs="Times New Roman"/>
          <w:sz w:val="24"/>
          <w:szCs w:val="24"/>
        </w:rPr>
      </w:pPr>
      <w:r>
        <w:rPr>
          <w:noProof/>
        </w:rPr>
        <w:drawing>
          <wp:inline distT="0" distB="0" distL="0" distR="0" wp14:anchorId="4DFCADDA" wp14:editId="236670B7">
            <wp:extent cx="3152775" cy="2095500"/>
            <wp:effectExtent l="0" t="0" r="9525" b="0"/>
            <wp:docPr id="1973637326" name="Wykres 1">
              <a:extLst xmlns:a="http://schemas.openxmlformats.org/drawingml/2006/main">
                <a:ext uri="{FF2B5EF4-FFF2-40B4-BE49-F238E27FC236}">
                  <a16:creationId xmlns:a16="http://schemas.microsoft.com/office/drawing/2014/main" id="{8ED95A49-8EE8-2C2B-34B5-F8A0EC893C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44359F" w14:textId="207FAF1B" w:rsidR="00127ABD" w:rsidRPr="00FB76F2" w:rsidRDefault="00127ABD"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16</w:t>
      </w:r>
      <w:r w:rsidRPr="00D601AB">
        <w:rPr>
          <w:rFonts w:ascii="Times New Roman" w:hAnsi="Times New Roman" w:cs="Times New Roman"/>
          <w:sz w:val="24"/>
          <w:szCs w:val="24"/>
        </w:rPr>
        <w:t xml:space="preserve"> </w:t>
      </w:r>
      <w:r w:rsidR="00B16701" w:rsidRPr="00FB76F2">
        <w:rPr>
          <w:rFonts w:ascii="Times New Roman" w:hAnsi="Times New Roman" w:cs="Times New Roman"/>
          <w:i w:val="0"/>
          <w:iCs w:val="0"/>
          <w:sz w:val="24"/>
          <w:szCs w:val="24"/>
          <w:lang w:val="en-GB"/>
        </w:rPr>
        <w:t>Number of paracetamol concentration evaluations in the Toxicology Laboratory of ZDL WSzZ in Toruń in 2020 divided into individual age groups</w:t>
      </w:r>
    </w:p>
    <w:p w14:paraId="62B0924D" w14:textId="6271137A" w:rsidR="00127ABD" w:rsidRPr="00D601AB" w:rsidRDefault="002169D6"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lastRenderedPageBreak/>
        <w:drawing>
          <wp:inline distT="0" distB="0" distL="0" distR="0" wp14:anchorId="27052CC1" wp14:editId="404F3B97">
            <wp:extent cx="3067050" cy="2190750"/>
            <wp:effectExtent l="0" t="0" r="0" b="0"/>
            <wp:docPr id="1980280792" name="Wykres 1">
              <a:extLst xmlns:a="http://schemas.openxmlformats.org/drawingml/2006/main">
                <a:ext uri="{FF2B5EF4-FFF2-40B4-BE49-F238E27FC236}">
                  <a16:creationId xmlns:a16="http://schemas.microsoft.com/office/drawing/2014/main" id="{129A9711-9E46-5D5C-C61B-380E4CDA75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8D19A0A" w14:textId="0C307900" w:rsidR="00127ABD" w:rsidRPr="00D601AB" w:rsidRDefault="00127ABD"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 xml:space="preserve">17 </w:t>
      </w:r>
      <w:r w:rsidRPr="00D601AB">
        <w:rPr>
          <w:rFonts w:ascii="Times New Roman" w:hAnsi="Times New Roman" w:cs="Times New Roman"/>
          <w:sz w:val="24"/>
          <w:szCs w:val="24"/>
        </w:rPr>
        <w:t xml:space="preserve"> </w:t>
      </w:r>
      <w:r w:rsidR="00561918" w:rsidRPr="00FB76F2">
        <w:rPr>
          <w:rFonts w:ascii="Times New Roman" w:hAnsi="Times New Roman" w:cs="Times New Roman"/>
          <w:i w:val="0"/>
          <w:iCs w:val="0"/>
          <w:sz w:val="24"/>
          <w:szCs w:val="24"/>
          <w:lang w:val="en-GB"/>
        </w:rPr>
        <w:t>Number of paracetamol concentration evaluations in Toxicology Laboratory of ZDL WSzZ in Toruń in 2020 divided into obtained concentrations</w:t>
      </w:r>
    </w:p>
    <w:p w14:paraId="0D445243" w14:textId="7354EAF9" w:rsidR="00E00153" w:rsidRDefault="00E00153" w:rsidP="00BD27C5">
      <w:pPr>
        <w:spacing w:line="360" w:lineRule="auto"/>
        <w:rPr>
          <w:rFonts w:ascii="Times New Roman" w:hAnsi="Times New Roman" w:cs="Times New Roman"/>
          <w:b/>
          <w:bCs/>
          <w:sz w:val="24"/>
          <w:szCs w:val="24"/>
        </w:rPr>
      </w:pPr>
      <w:r w:rsidRPr="00D601AB">
        <w:rPr>
          <w:rFonts w:ascii="Times New Roman" w:hAnsi="Times New Roman" w:cs="Times New Roman"/>
          <w:b/>
          <w:bCs/>
          <w:sz w:val="24"/>
          <w:szCs w:val="24"/>
        </w:rPr>
        <w:t>2021</w:t>
      </w:r>
    </w:p>
    <w:p w14:paraId="328E0441" w14:textId="7C936E13" w:rsidR="00641990" w:rsidRDefault="00641990" w:rsidP="00641990">
      <w:pPr>
        <w:keepNext/>
        <w:spacing w:line="360" w:lineRule="auto"/>
        <w:ind w:firstLine="708"/>
        <w:jc w:val="both"/>
        <w:rPr>
          <w:rFonts w:ascii="Times New Roman" w:hAnsi="Times New Roman" w:cs="Times New Roman"/>
          <w:sz w:val="24"/>
          <w:szCs w:val="24"/>
          <w:lang w:val="en-GB"/>
        </w:rPr>
      </w:pPr>
      <w:r w:rsidRPr="00FE41AD">
        <w:rPr>
          <w:rFonts w:ascii="Times New Roman" w:hAnsi="Times New Roman" w:cs="Times New Roman"/>
          <w:sz w:val="24"/>
          <w:szCs w:val="24"/>
          <w:lang w:val="en-GB"/>
        </w:rPr>
        <w:t>In 202</w:t>
      </w:r>
      <w:r>
        <w:rPr>
          <w:rFonts w:ascii="Times New Roman" w:hAnsi="Times New Roman" w:cs="Times New Roman"/>
          <w:sz w:val="24"/>
          <w:szCs w:val="24"/>
          <w:lang w:val="en-GB"/>
        </w:rPr>
        <w:t>1,</w:t>
      </w:r>
      <w:r w:rsidRPr="00FE41AD">
        <w:rPr>
          <w:rFonts w:ascii="Times New Roman" w:hAnsi="Times New Roman" w:cs="Times New Roman"/>
          <w:sz w:val="24"/>
          <w:szCs w:val="24"/>
          <w:lang w:val="en-GB"/>
        </w:rPr>
        <w:t xml:space="preserve"> most paracetamol concentration tests were made in October (fig. 18). As in previous years, the vast majority of paracetamol tests were performed on women – 77% (63 tests). </w:t>
      </w:r>
      <w:r>
        <w:rPr>
          <w:rFonts w:ascii="Times New Roman" w:hAnsi="Times New Roman" w:cs="Times New Roman"/>
          <w:sz w:val="24"/>
          <w:szCs w:val="24"/>
          <w:lang w:val="en-GB"/>
        </w:rPr>
        <w:t xml:space="preserve"> </w:t>
      </w:r>
      <w:r w:rsidRPr="00FE41AD">
        <w:rPr>
          <w:rFonts w:ascii="Times New Roman" w:hAnsi="Times New Roman" w:cs="Times New Roman"/>
          <w:sz w:val="24"/>
          <w:szCs w:val="24"/>
          <w:lang w:val="en-GB"/>
        </w:rPr>
        <w:t xml:space="preserve">Analyses </w:t>
      </w:r>
      <w:r>
        <w:rPr>
          <w:rFonts w:ascii="Times New Roman" w:hAnsi="Times New Roman" w:cs="Times New Roman"/>
          <w:sz w:val="24"/>
          <w:szCs w:val="24"/>
          <w:lang w:val="en-GB"/>
        </w:rPr>
        <w:t>conducted</w:t>
      </w:r>
      <w:r w:rsidRPr="00FE41AD">
        <w:rPr>
          <w:rFonts w:ascii="Times New Roman" w:hAnsi="Times New Roman" w:cs="Times New Roman"/>
          <w:sz w:val="24"/>
          <w:szCs w:val="24"/>
          <w:lang w:val="en-GB"/>
        </w:rPr>
        <w:t xml:space="preserve"> on men accounted for 23% (19 tests) (fig. 19). </w:t>
      </w:r>
      <w:r>
        <w:rPr>
          <w:rFonts w:ascii="Times New Roman" w:hAnsi="Times New Roman" w:cs="Times New Roman"/>
          <w:sz w:val="24"/>
          <w:szCs w:val="24"/>
          <w:lang w:val="en-GB"/>
        </w:rPr>
        <w:t xml:space="preserve"> Examining</w:t>
      </w:r>
      <w:r w:rsidRPr="00FE41AD">
        <w:rPr>
          <w:rFonts w:ascii="Times New Roman" w:hAnsi="Times New Roman" w:cs="Times New Roman"/>
          <w:sz w:val="24"/>
          <w:szCs w:val="24"/>
          <w:lang w:val="en-GB"/>
        </w:rPr>
        <w:t xml:space="preserve"> the results in </w:t>
      </w:r>
      <w:r>
        <w:rPr>
          <w:rFonts w:ascii="Times New Roman" w:hAnsi="Times New Roman" w:cs="Times New Roman"/>
          <w:sz w:val="24"/>
          <w:szCs w:val="24"/>
          <w:lang w:val="en-GB"/>
        </w:rPr>
        <w:t xml:space="preserve">various </w:t>
      </w:r>
      <w:r w:rsidRPr="00FE41AD">
        <w:rPr>
          <w:rFonts w:ascii="Times New Roman" w:hAnsi="Times New Roman" w:cs="Times New Roman"/>
          <w:sz w:val="24"/>
          <w:szCs w:val="24"/>
          <w:lang w:val="en-GB"/>
        </w:rPr>
        <w:t>age groups, it was found that: in the</w:t>
      </w:r>
      <w:r>
        <w:rPr>
          <w:rFonts w:ascii="Times New Roman" w:hAnsi="Times New Roman" w:cs="Times New Roman"/>
          <w:sz w:val="24"/>
          <w:szCs w:val="24"/>
          <w:lang w:val="en-GB"/>
        </w:rPr>
        <w:t xml:space="preserve"> </w:t>
      </w:r>
      <w:r w:rsidRPr="00FE41AD">
        <w:rPr>
          <w:rFonts w:ascii="Times New Roman" w:hAnsi="Times New Roman" w:cs="Times New Roman"/>
          <w:sz w:val="24"/>
          <w:szCs w:val="24"/>
          <w:lang w:val="en-GB"/>
        </w:rPr>
        <w:t>0-14 age group</w:t>
      </w:r>
      <w:r>
        <w:rPr>
          <w:rFonts w:ascii="Times New Roman" w:hAnsi="Times New Roman" w:cs="Times New Roman"/>
          <w:sz w:val="24"/>
          <w:szCs w:val="24"/>
          <w:lang w:val="en-GB"/>
        </w:rPr>
        <w:t>,</w:t>
      </w:r>
      <w:r w:rsidRPr="00FE41AD">
        <w:rPr>
          <w:rFonts w:ascii="Times New Roman" w:hAnsi="Times New Roman" w:cs="Times New Roman"/>
          <w:sz w:val="24"/>
          <w:szCs w:val="24"/>
          <w:lang w:val="en-GB"/>
        </w:rPr>
        <w:t xml:space="preserve"> 25 tests were performed, 15-30 age group – 47 tests, 31-65 age group – 7 tests, and the </w:t>
      </w:r>
      <w:r>
        <w:rPr>
          <w:rFonts w:ascii="Times New Roman" w:hAnsi="Times New Roman" w:cs="Times New Roman"/>
          <w:sz w:val="24"/>
          <w:szCs w:val="24"/>
          <w:lang w:val="en-GB"/>
        </w:rPr>
        <w:t>lowest</w:t>
      </w:r>
      <w:r w:rsidRPr="00FE41AD">
        <w:rPr>
          <w:rFonts w:ascii="Times New Roman" w:hAnsi="Times New Roman" w:cs="Times New Roman"/>
          <w:sz w:val="24"/>
          <w:szCs w:val="24"/>
          <w:lang w:val="en-GB"/>
        </w:rPr>
        <w:t xml:space="preserve"> number of tests were done on patients over 65 years of age – 3 tests (fig. 20). The following results were acquired when</w:t>
      </w:r>
      <w:r>
        <w:rPr>
          <w:rFonts w:ascii="Times New Roman" w:hAnsi="Times New Roman" w:cs="Times New Roman"/>
          <w:sz w:val="24"/>
          <w:szCs w:val="24"/>
          <w:lang w:val="en-GB"/>
        </w:rPr>
        <w:t xml:space="preserve"> </w:t>
      </w:r>
      <w:r w:rsidRPr="00FE41AD">
        <w:rPr>
          <w:rFonts w:ascii="Times New Roman" w:hAnsi="Times New Roman" w:cs="Times New Roman"/>
          <w:sz w:val="24"/>
          <w:szCs w:val="24"/>
          <w:lang w:val="en-GB"/>
        </w:rPr>
        <w:t>analysing the results in terms of the obtained concentrations of the drug: &lt;5 µg/ml - 20 tests, 5-</w:t>
      </w:r>
      <w:r>
        <w:rPr>
          <w:rFonts w:ascii="Times New Roman" w:hAnsi="Times New Roman" w:cs="Times New Roman"/>
          <w:sz w:val="24"/>
          <w:szCs w:val="24"/>
          <w:lang w:val="en-GB"/>
        </w:rPr>
        <w:t> </w:t>
      </w:r>
      <w:r w:rsidRPr="00FE41AD">
        <w:rPr>
          <w:rFonts w:ascii="Times New Roman" w:hAnsi="Times New Roman" w:cs="Times New Roman"/>
          <w:sz w:val="24"/>
          <w:szCs w:val="24"/>
          <w:lang w:val="en-GB"/>
        </w:rPr>
        <w:t>20 µg/ml - 17 tests, 21-100 µg/ml - 26 tests, over 100 µg/ml - 19 tests (fig. 21).</w:t>
      </w:r>
    </w:p>
    <w:p w14:paraId="5AF6FCBC" w14:textId="77777777" w:rsidR="00641990" w:rsidRDefault="00641990" w:rsidP="00BD27C5">
      <w:pPr>
        <w:spacing w:line="360" w:lineRule="auto"/>
        <w:rPr>
          <w:rFonts w:ascii="Times New Roman" w:hAnsi="Times New Roman" w:cs="Times New Roman"/>
          <w:b/>
          <w:bCs/>
          <w:sz w:val="24"/>
          <w:szCs w:val="24"/>
        </w:rPr>
      </w:pPr>
    </w:p>
    <w:p w14:paraId="5A339F19" w14:textId="77777777" w:rsidR="00641990" w:rsidRDefault="00641990" w:rsidP="00BD27C5">
      <w:pPr>
        <w:spacing w:line="360" w:lineRule="auto"/>
        <w:rPr>
          <w:rFonts w:ascii="Times New Roman" w:hAnsi="Times New Roman" w:cs="Times New Roman"/>
          <w:b/>
          <w:bCs/>
          <w:sz w:val="24"/>
          <w:szCs w:val="24"/>
        </w:rPr>
      </w:pPr>
    </w:p>
    <w:p w14:paraId="788C8910" w14:textId="77777777" w:rsidR="00641990" w:rsidRDefault="00641990" w:rsidP="00BD27C5">
      <w:pPr>
        <w:spacing w:line="360" w:lineRule="auto"/>
        <w:rPr>
          <w:rFonts w:ascii="Times New Roman" w:hAnsi="Times New Roman" w:cs="Times New Roman"/>
          <w:b/>
          <w:bCs/>
          <w:sz w:val="24"/>
          <w:szCs w:val="24"/>
        </w:rPr>
      </w:pPr>
    </w:p>
    <w:p w14:paraId="58CA18D1" w14:textId="77777777" w:rsidR="00641990" w:rsidRDefault="00641990" w:rsidP="00BD27C5">
      <w:pPr>
        <w:spacing w:line="360" w:lineRule="auto"/>
        <w:rPr>
          <w:rFonts w:ascii="Times New Roman" w:hAnsi="Times New Roman" w:cs="Times New Roman"/>
          <w:b/>
          <w:bCs/>
          <w:sz w:val="24"/>
          <w:szCs w:val="24"/>
        </w:rPr>
      </w:pPr>
    </w:p>
    <w:p w14:paraId="5A1F51D5" w14:textId="77777777" w:rsidR="00641990" w:rsidRDefault="00641990" w:rsidP="00BD27C5">
      <w:pPr>
        <w:spacing w:line="360" w:lineRule="auto"/>
        <w:rPr>
          <w:rFonts w:ascii="Times New Roman" w:hAnsi="Times New Roman" w:cs="Times New Roman"/>
          <w:b/>
          <w:bCs/>
          <w:sz w:val="24"/>
          <w:szCs w:val="24"/>
        </w:rPr>
      </w:pPr>
    </w:p>
    <w:p w14:paraId="7178AED0" w14:textId="77777777" w:rsidR="00641990" w:rsidRDefault="00641990" w:rsidP="00BD27C5">
      <w:pPr>
        <w:spacing w:line="360" w:lineRule="auto"/>
        <w:rPr>
          <w:rFonts w:ascii="Times New Roman" w:hAnsi="Times New Roman" w:cs="Times New Roman"/>
          <w:b/>
          <w:bCs/>
          <w:sz w:val="24"/>
          <w:szCs w:val="24"/>
        </w:rPr>
      </w:pPr>
    </w:p>
    <w:p w14:paraId="0919819C" w14:textId="77777777" w:rsidR="00641990" w:rsidRPr="00D601AB" w:rsidRDefault="00641990" w:rsidP="00BD27C5">
      <w:pPr>
        <w:spacing w:line="360" w:lineRule="auto"/>
        <w:rPr>
          <w:rFonts w:ascii="Times New Roman" w:hAnsi="Times New Roman" w:cs="Times New Roman"/>
          <w:b/>
          <w:bCs/>
          <w:sz w:val="24"/>
          <w:szCs w:val="24"/>
        </w:rPr>
      </w:pPr>
    </w:p>
    <w:p w14:paraId="49A240DA" w14:textId="1B15BB0A" w:rsidR="00E00153" w:rsidRPr="00D601AB" w:rsidRDefault="00E00153" w:rsidP="00FE41AD">
      <w:pPr>
        <w:keepNext/>
        <w:spacing w:line="360" w:lineRule="auto"/>
        <w:ind w:firstLine="708"/>
        <w:jc w:val="both"/>
        <w:rPr>
          <w:rFonts w:ascii="Times New Roman" w:hAnsi="Times New Roman" w:cs="Times New Roman"/>
          <w:sz w:val="24"/>
          <w:szCs w:val="24"/>
        </w:rPr>
      </w:pPr>
      <w:r w:rsidRPr="00D601AB">
        <w:rPr>
          <w:rFonts w:ascii="Times New Roman" w:hAnsi="Times New Roman" w:cs="Times New Roman"/>
          <w:noProof/>
          <w:sz w:val="24"/>
          <w:szCs w:val="24"/>
        </w:rPr>
        <w:lastRenderedPageBreak/>
        <w:drawing>
          <wp:inline distT="0" distB="0" distL="0" distR="0" wp14:anchorId="4970A73F" wp14:editId="1666C646">
            <wp:extent cx="4572000" cy="2743200"/>
            <wp:effectExtent l="0" t="0" r="0" b="0"/>
            <wp:docPr id="1178865883" name="Wykres 1">
              <a:extLst xmlns:a="http://schemas.openxmlformats.org/drawingml/2006/main">
                <a:ext uri="{FF2B5EF4-FFF2-40B4-BE49-F238E27FC236}">
                  <a16:creationId xmlns:a16="http://schemas.microsoft.com/office/drawing/2014/main" id="{3F53215B-6AC0-0A0E-B80F-FC3CEAF1D6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5A0156B" w14:textId="77777777" w:rsidR="00016CD5" w:rsidRPr="00631D16" w:rsidRDefault="00E00153" w:rsidP="003807EB">
      <w:pPr>
        <w:spacing w:line="360" w:lineRule="auto"/>
        <w:jc w:val="center"/>
        <w:rPr>
          <w:rFonts w:cstheme="minorHAnsi"/>
          <w:sz w:val="24"/>
          <w:szCs w:val="24"/>
          <w:lang w:val="en-GB"/>
        </w:rPr>
      </w:pPr>
      <w:r w:rsidRPr="003807EB">
        <w:rPr>
          <w:rFonts w:ascii="Times New Roman" w:hAnsi="Times New Roman" w:cs="Times New Roman"/>
          <w:i/>
          <w:iCs/>
          <w:sz w:val="24"/>
          <w:szCs w:val="24"/>
        </w:rPr>
        <w:t xml:space="preserve">Figure </w:t>
      </w:r>
      <w:r w:rsidRPr="003807EB">
        <w:rPr>
          <w:rFonts w:ascii="Times New Roman" w:hAnsi="Times New Roman" w:cs="Times New Roman"/>
          <w:i/>
          <w:iCs/>
          <w:sz w:val="24"/>
          <w:szCs w:val="24"/>
        </w:rPr>
        <w:fldChar w:fldCharType="begin"/>
      </w:r>
      <w:r w:rsidRPr="003807EB">
        <w:rPr>
          <w:rFonts w:ascii="Times New Roman" w:hAnsi="Times New Roman" w:cs="Times New Roman"/>
          <w:i/>
          <w:iCs/>
          <w:sz w:val="24"/>
          <w:szCs w:val="24"/>
        </w:rPr>
        <w:instrText xml:space="preserve"> SEQ Figure \* ARABIC </w:instrText>
      </w:r>
      <w:r w:rsidRPr="003807EB">
        <w:rPr>
          <w:rFonts w:ascii="Times New Roman" w:hAnsi="Times New Roman" w:cs="Times New Roman"/>
          <w:i/>
          <w:iCs/>
          <w:sz w:val="24"/>
          <w:szCs w:val="24"/>
        </w:rPr>
        <w:fldChar w:fldCharType="separate"/>
      </w:r>
      <w:r w:rsidR="00171FFE" w:rsidRPr="003807EB">
        <w:rPr>
          <w:rFonts w:ascii="Times New Roman" w:hAnsi="Times New Roman" w:cs="Times New Roman"/>
          <w:i/>
          <w:iCs/>
          <w:noProof/>
          <w:sz w:val="24"/>
          <w:szCs w:val="24"/>
        </w:rPr>
        <w:t>18</w:t>
      </w:r>
      <w:r w:rsidRPr="003807EB">
        <w:rPr>
          <w:rFonts w:ascii="Times New Roman" w:hAnsi="Times New Roman" w:cs="Times New Roman"/>
          <w:i/>
          <w:iCs/>
          <w:noProof/>
          <w:sz w:val="24"/>
          <w:szCs w:val="24"/>
        </w:rPr>
        <w:fldChar w:fldCharType="end"/>
      </w:r>
      <w:r w:rsidRPr="00D601AB">
        <w:rPr>
          <w:rFonts w:ascii="Times New Roman" w:hAnsi="Times New Roman" w:cs="Times New Roman"/>
          <w:sz w:val="24"/>
          <w:szCs w:val="24"/>
        </w:rPr>
        <w:t xml:space="preserve"> </w:t>
      </w:r>
      <w:r w:rsidR="00016CD5" w:rsidRPr="00FB76F2">
        <w:rPr>
          <w:rFonts w:ascii="Times New Roman" w:hAnsi="Times New Roman" w:cs="Times New Roman"/>
          <w:sz w:val="24"/>
          <w:szCs w:val="24"/>
          <w:lang w:val="en-GB"/>
        </w:rPr>
        <w:t>Number of paracetamol concentration evaluations in the Toxicology Laboratory of ZDL WSzZ in Toruń in 2021 divided into individual months</w:t>
      </w:r>
    </w:p>
    <w:p w14:paraId="4795BC55" w14:textId="09627015" w:rsidR="00E00153" w:rsidRPr="00D601AB" w:rsidRDefault="00E00153" w:rsidP="00D601AB">
      <w:pPr>
        <w:pStyle w:val="Legenda"/>
        <w:spacing w:line="360" w:lineRule="auto"/>
        <w:jc w:val="center"/>
        <w:rPr>
          <w:rFonts w:ascii="Times New Roman" w:hAnsi="Times New Roman" w:cs="Times New Roman"/>
          <w:i w:val="0"/>
          <w:iCs w:val="0"/>
          <w:sz w:val="24"/>
          <w:szCs w:val="24"/>
        </w:rPr>
      </w:pPr>
    </w:p>
    <w:p w14:paraId="7798E7F0" w14:textId="77777777" w:rsidR="00E00153" w:rsidRPr="00D601AB" w:rsidRDefault="00E00153"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40B4687C" wp14:editId="6869BE4F">
            <wp:extent cx="2905125" cy="1876425"/>
            <wp:effectExtent l="0" t="0" r="9525" b="9525"/>
            <wp:docPr id="671398001" name="Wykres 1">
              <a:extLst xmlns:a="http://schemas.openxmlformats.org/drawingml/2006/main">
                <a:ext uri="{FF2B5EF4-FFF2-40B4-BE49-F238E27FC236}">
                  <a16:creationId xmlns:a16="http://schemas.microsoft.com/office/drawing/2014/main" id="{036DDEDE-C8EC-575B-1093-7F3AFFD819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6D24D5A" w14:textId="77777777" w:rsidR="003C6007" w:rsidRPr="00631D16" w:rsidRDefault="00E00153" w:rsidP="003962E8">
      <w:pPr>
        <w:spacing w:line="360" w:lineRule="auto"/>
        <w:jc w:val="center"/>
        <w:rPr>
          <w:rFonts w:cstheme="minorHAnsi"/>
          <w:sz w:val="24"/>
          <w:szCs w:val="24"/>
          <w:lang w:val="en-GB"/>
        </w:rPr>
      </w:pPr>
      <w:r w:rsidRPr="003C6007">
        <w:rPr>
          <w:rFonts w:ascii="Times New Roman" w:hAnsi="Times New Roman" w:cs="Times New Roman"/>
          <w:i/>
          <w:iCs/>
          <w:sz w:val="24"/>
          <w:szCs w:val="24"/>
        </w:rPr>
        <w:t xml:space="preserve">Figure </w:t>
      </w:r>
      <w:r w:rsidR="00171FFE" w:rsidRPr="003C6007">
        <w:rPr>
          <w:rFonts w:ascii="Times New Roman" w:hAnsi="Times New Roman" w:cs="Times New Roman"/>
          <w:i/>
          <w:iCs/>
          <w:sz w:val="24"/>
          <w:szCs w:val="24"/>
        </w:rPr>
        <w:t>19</w:t>
      </w:r>
      <w:r w:rsidRPr="00D601AB">
        <w:rPr>
          <w:rFonts w:ascii="Times New Roman" w:hAnsi="Times New Roman" w:cs="Times New Roman"/>
          <w:sz w:val="24"/>
          <w:szCs w:val="24"/>
        </w:rPr>
        <w:t xml:space="preserve"> </w:t>
      </w:r>
      <w:r w:rsidR="003C6007" w:rsidRPr="00FB76F2">
        <w:rPr>
          <w:rFonts w:ascii="Times New Roman" w:hAnsi="Times New Roman" w:cs="Times New Roman"/>
          <w:sz w:val="24"/>
          <w:szCs w:val="24"/>
          <w:lang w:val="en-GB"/>
        </w:rPr>
        <w:t>Number of paracetamol concentration evaluations in the Toxicology Laboratory of ZDL WSzZ in Toruń in 2021 divided by gender</w:t>
      </w:r>
    </w:p>
    <w:p w14:paraId="7E5C8F3F" w14:textId="3CEE4532" w:rsidR="00E00153" w:rsidRPr="00D601AB" w:rsidRDefault="00E00153" w:rsidP="00D601AB">
      <w:pPr>
        <w:pStyle w:val="Legenda"/>
        <w:spacing w:line="360" w:lineRule="auto"/>
        <w:jc w:val="center"/>
        <w:rPr>
          <w:rFonts w:ascii="Times New Roman" w:hAnsi="Times New Roman" w:cs="Times New Roman"/>
          <w:i w:val="0"/>
          <w:iCs w:val="0"/>
          <w:sz w:val="24"/>
          <w:szCs w:val="24"/>
        </w:rPr>
      </w:pPr>
    </w:p>
    <w:p w14:paraId="3C791559" w14:textId="0C50E7A5" w:rsidR="000B5B67" w:rsidRPr="00D601AB" w:rsidRDefault="003962E8" w:rsidP="00D601AB">
      <w:pPr>
        <w:keepNext/>
        <w:spacing w:line="360" w:lineRule="auto"/>
        <w:jc w:val="center"/>
        <w:rPr>
          <w:rFonts w:ascii="Times New Roman" w:hAnsi="Times New Roman" w:cs="Times New Roman"/>
          <w:sz w:val="24"/>
          <w:szCs w:val="24"/>
        </w:rPr>
      </w:pPr>
      <w:r>
        <w:rPr>
          <w:noProof/>
        </w:rPr>
        <w:lastRenderedPageBreak/>
        <w:drawing>
          <wp:inline distT="0" distB="0" distL="0" distR="0" wp14:anchorId="16D3519A" wp14:editId="0D5619DA">
            <wp:extent cx="3257550" cy="2171700"/>
            <wp:effectExtent l="0" t="0" r="0" b="0"/>
            <wp:docPr id="483865421" name="Wykres 1">
              <a:extLst xmlns:a="http://schemas.openxmlformats.org/drawingml/2006/main">
                <a:ext uri="{FF2B5EF4-FFF2-40B4-BE49-F238E27FC236}">
                  <a16:creationId xmlns:a16="http://schemas.microsoft.com/office/drawing/2014/main" id="{F50607DC-9733-E58A-BBF7-CB9478EBDB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930CF17" w14:textId="0A458914" w:rsidR="000B5B67" w:rsidRPr="00AF6604" w:rsidRDefault="000B5B67"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 xml:space="preserve">20 </w:t>
      </w:r>
      <w:r w:rsidRPr="00D601AB">
        <w:rPr>
          <w:rFonts w:ascii="Times New Roman" w:hAnsi="Times New Roman" w:cs="Times New Roman"/>
          <w:sz w:val="24"/>
          <w:szCs w:val="24"/>
        </w:rPr>
        <w:t xml:space="preserve"> </w:t>
      </w:r>
      <w:r w:rsidR="00AF6604" w:rsidRPr="00FB76F2">
        <w:rPr>
          <w:rFonts w:ascii="Times New Roman" w:hAnsi="Times New Roman" w:cs="Times New Roman"/>
          <w:i w:val="0"/>
          <w:iCs w:val="0"/>
          <w:sz w:val="24"/>
          <w:szCs w:val="24"/>
          <w:lang w:val="en-GB"/>
        </w:rPr>
        <w:t>Number of paracetamol concentration evaluations in the Toxicology Laboratory of ZDL WSzZ in Toruń in 2021 divided into individual age groups</w:t>
      </w:r>
    </w:p>
    <w:p w14:paraId="674443CE" w14:textId="3BBACA8F" w:rsidR="000B5B67" w:rsidRPr="00D601AB" w:rsidRDefault="002169D6"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07F9B1CF" wp14:editId="3EBE0899">
            <wp:extent cx="3419475" cy="2276475"/>
            <wp:effectExtent l="0" t="0" r="9525" b="9525"/>
            <wp:docPr id="1272563963" name="Wykres 1">
              <a:extLst xmlns:a="http://schemas.openxmlformats.org/drawingml/2006/main">
                <a:ext uri="{FF2B5EF4-FFF2-40B4-BE49-F238E27FC236}">
                  <a16:creationId xmlns:a16="http://schemas.microsoft.com/office/drawing/2014/main" id="{4D49F745-5827-9BE8-114D-EE2C84B39F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BD8EECD" w14:textId="1ABBC1D8" w:rsidR="000B5B67" w:rsidRPr="00D601AB" w:rsidRDefault="000B5B67"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Pr="00D601AB">
        <w:rPr>
          <w:rFonts w:ascii="Times New Roman" w:hAnsi="Times New Roman" w:cs="Times New Roman"/>
          <w:sz w:val="24"/>
          <w:szCs w:val="24"/>
        </w:rPr>
        <w:fldChar w:fldCharType="begin"/>
      </w:r>
      <w:r w:rsidRPr="00D601AB">
        <w:rPr>
          <w:rFonts w:ascii="Times New Roman" w:hAnsi="Times New Roman" w:cs="Times New Roman"/>
          <w:sz w:val="24"/>
          <w:szCs w:val="24"/>
        </w:rPr>
        <w:instrText xml:space="preserve"> SEQ Figure \* ARABIC </w:instrText>
      </w:r>
      <w:r w:rsidRPr="00D601AB">
        <w:rPr>
          <w:rFonts w:ascii="Times New Roman" w:hAnsi="Times New Roman" w:cs="Times New Roman"/>
          <w:sz w:val="24"/>
          <w:szCs w:val="24"/>
        </w:rPr>
        <w:fldChar w:fldCharType="separate"/>
      </w:r>
      <w:r w:rsidR="00171FFE" w:rsidRPr="00D601AB">
        <w:rPr>
          <w:rFonts w:ascii="Times New Roman" w:hAnsi="Times New Roman" w:cs="Times New Roman"/>
          <w:noProof/>
          <w:sz w:val="24"/>
          <w:szCs w:val="24"/>
        </w:rPr>
        <w:t>21</w:t>
      </w:r>
      <w:r w:rsidRPr="00D601AB">
        <w:rPr>
          <w:rFonts w:ascii="Times New Roman" w:hAnsi="Times New Roman" w:cs="Times New Roman"/>
          <w:noProof/>
          <w:sz w:val="24"/>
          <w:szCs w:val="24"/>
        </w:rPr>
        <w:fldChar w:fldCharType="end"/>
      </w:r>
      <w:r w:rsidRPr="00D601AB">
        <w:rPr>
          <w:rFonts w:ascii="Times New Roman" w:hAnsi="Times New Roman" w:cs="Times New Roman"/>
          <w:sz w:val="24"/>
          <w:szCs w:val="24"/>
        </w:rPr>
        <w:t xml:space="preserve"> </w:t>
      </w:r>
      <w:r w:rsidR="006B1B09" w:rsidRPr="00FB76F2">
        <w:rPr>
          <w:rFonts w:ascii="Times New Roman" w:hAnsi="Times New Roman" w:cs="Times New Roman"/>
          <w:i w:val="0"/>
          <w:iCs w:val="0"/>
          <w:sz w:val="24"/>
          <w:szCs w:val="24"/>
          <w:lang w:val="en-GB"/>
        </w:rPr>
        <w:t>Number of paracetamol concentration evaluations in Toxicology Laboratory of ZDL WSzZ in Toruń in 2021 divided into obtained concentrations</w:t>
      </w:r>
    </w:p>
    <w:p w14:paraId="06F410ED" w14:textId="77777777" w:rsidR="00FB76F2" w:rsidRDefault="00FB76F2" w:rsidP="00D601AB">
      <w:pPr>
        <w:spacing w:line="360" w:lineRule="auto"/>
        <w:rPr>
          <w:rFonts w:ascii="Times New Roman" w:hAnsi="Times New Roman" w:cs="Times New Roman"/>
          <w:b/>
          <w:bCs/>
          <w:sz w:val="24"/>
          <w:szCs w:val="24"/>
        </w:rPr>
      </w:pPr>
    </w:p>
    <w:p w14:paraId="0129C19F" w14:textId="564A999D" w:rsidR="00DE7A14" w:rsidRPr="00D601AB" w:rsidRDefault="00DE7A14" w:rsidP="00D601AB">
      <w:pPr>
        <w:spacing w:line="360" w:lineRule="auto"/>
        <w:rPr>
          <w:rFonts w:ascii="Times New Roman" w:hAnsi="Times New Roman" w:cs="Times New Roman"/>
          <w:b/>
          <w:bCs/>
          <w:sz w:val="24"/>
          <w:szCs w:val="24"/>
        </w:rPr>
      </w:pPr>
      <w:r w:rsidRPr="00D601AB">
        <w:rPr>
          <w:rFonts w:ascii="Times New Roman" w:hAnsi="Times New Roman" w:cs="Times New Roman"/>
          <w:b/>
          <w:bCs/>
          <w:sz w:val="24"/>
          <w:szCs w:val="24"/>
        </w:rPr>
        <w:t>2022</w:t>
      </w:r>
    </w:p>
    <w:p w14:paraId="0F1CEB7D" w14:textId="193FE268" w:rsidR="00D220A6" w:rsidRDefault="00D220A6" w:rsidP="00D220A6">
      <w:pPr>
        <w:keepNext/>
        <w:spacing w:line="360" w:lineRule="auto"/>
        <w:ind w:firstLine="708"/>
        <w:jc w:val="both"/>
        <w:rPr>
          <w:rFonts w:ascii="Times New Roman" w:hAnsi="Times New Roman" w:cs="Times New Roman"/>
          <w:sz w:val="24"/>
          <w:szCs w:val="24"/>
          <w:lang w:val="en-GB"/>
        </w:rPr>
      </w:pPr>
      <w:r w:rsidRPr="00244CC2">
        <w:rPr>
          <w:rFonts w:ascii="Times New Roman" w:hAnsi="Times New Roman" w:cs="Times New Roman"/>
          <w:sz w:val="24"/>
          <w:szCs w:val="24"/>
          <w:lang w:val="en-GB"/>
        </w:rPr>
        <w:t xml:space="preserve">In 2022, most paracetamol concentration analyses were performed in March and October (fig 22). </w:t>
      </w:r>
      <w:r w:rsidR="0035500B">
        <w:rPr>
          <w:rFonts w:ascii="Times New Roman" w:hAnsi="Times New Roman" w:cs="Times New Roman"/>
          <w:sz w:val="24"/>
          <w:szCs w:val="24"/>
          <w:lang w:val="en-GB"/>
        </w:rPr>
        <w:t xml:space="preserve"> </w:t>
      </w:r>
      <w:r w:rsidRPr="00244CC2">
        <w:rPr>
          <w:rFonts w:ascii="Times New Roman" w:hAnsi="Times New Roman" w:cs="Times New Roman"/>
          <w:sz w:val="24"/>
          <w:szCs w:val="24"/>
          <w:lang w:val="en-GB"/>
        </w:rPr>
        <w:t xml:space="preserve">The percentage of women among </w:t>
      </w:r>
      <w:r>
        <w:rPr>
          <w:rFonts w:ascii="Times New Roman" w:hAnsi="Times New Roman" w:cs="Times New Roman"/>
          <w:sz w:val="24"/>
          <w:szCs w:val="24"/>
          <w:lang w:val="en-GB"/>
        </w:rPr>
        <w:t xml:space="preserve">the </w:t>
      </w:r>
      <w:r w:rsidRPr="00244CC2">
        <w:rPr>
          <w:rFonts w:ascii="Times New Roman" w:hAnsi="Times New Roman" w:cs="Times New Roman"/>
          <w:sz w:val="24"/>
          <w:szCs w:val="24"/>
          <w:lang w:val="en-GB"/>
        </w:rPr>
        <w:t>patients tested was 70% (96 tests)</w:t>
      </w:r>
      <w:r>
        <w:rPr>
          <w:rFonts w:ascii="Times New Roman" w:hAnsi="Times New Roman" w:cs="Times New Roman"/>
          <w:sz w:val="24"/>
          <w:szCs w:val="24"/>
          <w:lang w:val="en-GB"/>
        </w:rPr>
        <w:t xml:space="preserve">, </w:t>
      </w:r>
      <w:r w:rsidRPr="00244CC2">
        <w:rPr>
          <w:rFonts w:ascii="Times New Roman" w:hAnsi="Times New Roman" w:cs="Times New Roman"/>
          <w:sz w:val="24"/>
          <w:szCs w:val="24"/>
          <w:lang w:val="en-GB"/>
        </w:rPr>
        <w:t xml:space="preserve">while men accounted for 30% (41 tests) (fig. 23). When it comes to </w:t>
      </w:r>
      <w:r>
        <w:rPr>
          <w:rFonts w:ascii="Times New Roman" w:hAnsi="Times New Roman" w:cs="Times New Roman"/>
          <w:sz w:val="24"/>
          <w:szCs w:val="24"/>
          <w:lang w:val="en-GB"/>
        </w:rPr>
        <w:t xml:space="preserve">the </w:t>
      </w:r>
      <w:r w:rsidRPr="00244CC2">
        <w:rPr>
          <w:rFonts w:ascii="Times New Roman" w:hAnsi="Times New Roman" w:cs="Times New Roman"/>
          <w:sz w:val="24"/>
          <w:szCs w:val="24"/>
          <w:lang w:val="en-GB"/>
        </w:rPr>
        <w:t>age groups</w:t>
      </w:r>
      <w:r>
        <w:rPr>
          <w:rFonts w:ascii="Times New Roman" w:hAnsi="Times New Roman" w:cs="Times New Roman"/>
          <w:sz w:val="24"/>
          <w:szCs w:val="24"/>
          <w:lang w:val="en-GB"/>
        </w:rPr>
        <w:t>,</w:t>
      </w:r>
      <w:r w:rsidRPr="00244CC2">
        <w:rPr>
          <w:rFonts w:ascii="Times New Roman" w:hAnsi="Times New Roman" w:cs="Times New Roman"/>
          <w:sz w:val="24"/>
          <w:szCs w:val="24"/>
          <w:lang w:val="en-GB"/>
        </w:rPr>
        <w:t xml:space="preserve"> the following results were as </w:t>
      </w:r>
      <w:r>
        <w:rPr>
          <w:rFonts w:ascii="Times New Roman" w:hAnsi="Times New Roman" w:cs="Times New Roman"/>
          <w:sz w:val="24"/>
          <w:szCs w:val="24"/>
          <w:lang w:val="en-GB"/>
        </w:rPr>
        <w:t>found</w:t>
      </w:r>
      <w:r w:rsidRPr="00244CC2">
        <w:rPr>
          <w:rFonts w:ascii="Times New Roman" w:hAnsi="Times New Roman" w:cs="Times New Roman"/>
          <w:sz w:val="24"/>
          <w:szCs w:val="24"/>
          <w:lang w:val="en-GB"/>
        </w:rPr>
        <w:t xml:space="preserve">: 0-14 </w:t>
      </w:r>
      <w:r>
        <w:rPr>
          <w:rFonts w:ascii="Times New Roman" w:hAnsi="Times New Roman" w:cs="Times New Roman"/>
          <w:sz w:val="24"/>
          <w:szCs w:val="24"/>
          <w:lang w:val="en-GB"/>
        </w:rPr>
        <w:t>age group</w:t>
      </w:r>
      <w:r w:rsidRPr="00244CC2">
        <w:rPr>
          <w:rFonts w:ascii="Times New Roman" w:hAnsi="Times New Roman" w:cs="Times New Roman"/>
          <w:sz w:val="24"/>
          <w:szCs w:val="24"/>
          <w:lang w:val="en-GB"/>
        </w:rPr>
        <w:t xml:space="preserve"> – 37 tests, 15-30 </w:t>
      </w:r>
      <w:r>
        <w:rPr>
          <w:rFonts w:ascii="Times New Roman" w:hAnsi="Times New Roman" w:cs="Times New Roman"/>
          <w:sz w:val="24"/>
          <w:szCs w:val="24"/>
          <w:lang w:val="en-GB"/>
        </w:rPr>
        <w:t>age group</w:t>
      </w:r>
      <w:r w:rsidRPr="00244CC2">
        <w:rPr>
          <w:rFonts w:ascii="Times New Roman" w:hAnsi="Times New Roman" w:cs="Times New Roman"/>
          <w:sz w:val="24"/>
          <w:szCs w:val="24"/>
          <w:lang w:val="en-GB"/>
        </w:rPr>
        <w:t xml:space="preserve"> – 65 tests, 31-65 </w:t>
      </w:r>
      <w:r>
        <w:rPr>
          <w:rFonts w:ascii="Times New Roman" w:hAnsi="Times New Roman" w:cs="Times New Roman"/>
          <w:sz w:val="24"/>
          <w:szCs w:val="24"/>
          <w:lang w:val="en-GB"/>
        </w:rPr>
        <w:t>age group</w:t>
      </w:r>
      <w:r w:rsidRPr="00244CC2">
        <w:rPr>
          <w:rFonts w:ascii="Times New Roman" w:hAnsi="Times New Roman" w:cs="Times New Roman"/>
          <w:sz w:val="24"/>
          <w:szCs w:val="24"/>
          <w:lang w:val="en-GB"/>
        </w:rPr>
        <w:t xml:space="preserve"> – 32 tests, the </w:t>
      </w:r>
      <w:r>
        <w:rPr>
          <w:rFonts w:ascii="Times New Roman" w:hAnsi="Times New Roman" w:cs="Times New Roman"/>
          <w:sz w:val="24"/>
          <w:szCs w:val="24"/>
          <w:lang w:val="en-GB"/>
        </w:rPr>
        <w:t>lowest</w:t>
      </w:r>
      <w:r w:rsidRPr="00244CC2">
        <w:rPr>
          <w:rFonts w:ascii="Times New Roman" w:hAnsi="Times New Roman" w:cs="Times New Roman"/>
          <w:sz w:val="24"/>
          <w:szCs w:val="24"/>
          <w:lang w:val="en-GB"/>
        </w:rPr>
        <w:t xml:space="preserve"> number of tests were performed on patients over 65 years of age – 3 tests (fig. 24). The following results were obtained when analysing the results in terms of the </w:t>
      </w:r>
      <w:r w:rsidRPr="00244CC2">
        <w:rPr>
          <w:rFonts w:ascii="Times New Roman" w:hAnsi="Times New Roman" w:cs="Times New Roman"/>
          <w:sz w:val="24"/>
          <w:szCs w:val="24"/>
          <w:lang w:val="en-GB"/>
        </w:rPr>
        <w:lastRenderedPageBreak/>
        <w:t>obtained concentrations of the drug: &lt;5 µg/ml - 47 tests, 5-20 µg/ml - 27 tests, 21-100 µg/ml - 47 tests, over 100 µg/ml - 16 tests (Fig. 25).</w:t>
      </w:r>
    </w:p>
    <w:p w14:paraId="1B7CB330" w14:textId="77777777" w:rsidR="00D220A6" w:rsidRPr="00244CC2" w:rsidRDefault="00D220A6" w:rsidP="00D220A6">
      <w:pPr>
        <w:keepNext/>
        <w:spacing w:line="360" w:lineRule="auto"/>
        <w:ind w:firstLine="708"/>
        <w:jc w:val="both"/>
        <w:rPr>
          <w:rFonts w:ascii="Times New Roman" w:hAnsi="Times New Roman" w:cs="Times New Roman"/>
          <w:sz w:val="24"/>
          <w:szCs w:val="24"/>
          <w:lang w:val="en-GB"/>
        </w:rPr>
      </w:pPr>
    </w:p>
    <w:p w14:paraId="3A156FA9" w14:textId="77777777" w:rsidR="00122932" w:rsidRPr="00D601AB" w:rsidRDefault="00DE7A14"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0AD4CBC4" wp14:editId="72D819B8">
            <wp:extent cx="4233600" cy="2512800"/>
            <wp:effectExtent l="0" t="0" r="14605" b="1905"/>
            <wp:docPr id="1610330772" name="Wykres 1">
              <a:extLst xmlns:a="http://schemas.openxmlformats.org/drawingml/2006/main">
                <a:ext uri="{FF2B5EF4-FFF2-40B4-BE49-F238E27FC236}">
                  <a16:creationId xmlns:a16="http://schemas.microsoft.com/office/drawing/2014/main" id="{0441B72E-E399-F95F-E2E0-F737613781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98D127E" w14:textId="67455515" w:rsidR="00DE7A14" w:rsidRPr="00D601AB" w:rsidRDefault="00122932"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00171FFE" w:rsidRPr="00D601AB">
        <w:rPr>
          <w:rFonts w:ascii="Times New Roman" w:hAnsi="Times New Roman" w:cs="Times New Roman"/>
          <w:sz w:val="24"/>
          <w:szCs w:val="24"/>
        </w:rPr>
        <w:t>22</w:t>
      </w:r>
      <w:r w:rsidRPr="00D601AB">
        <w:rPr>
          <w:rFonts w:ascii="Times New Roman" w:hAnsi="Times New Roman" w:cs="Times New Roman"/>
          <w:sz w:val="24"/>
          <w:szCs w:val="24"/>
        </w:rPr>
        <w:t xml:space="preserve"> </w:t>
      </w:r>
      <w:r w:rsidR="00FB76F2" w:rsidRPr="00FB76F2">
        <w:rPr>
          <w:rFonts w:ascii="Times New Roman" w:hAnsi="Times New Roman" w:cs="Times New Roman"/>
          <w:i w:val="0"/>
          <w:iCs w:val="0"/>
          <w:sz w:val="24"/>
          <w:szCs w:val="24"/>
          <w:lang w:val="en-GB"/>
        </w:rPr>
        <w:t>Number of paracetamol concentration evaluations in the Toxicology Laboratory of ZDL WSzZ in Toruń in 2022 divided into individual months</w:t>
      </w:r>
    </w:p>
    <w:p w14:paraId="247E331C" w14:textId="77777777" w:rsidR="00434CE9" w:rsidRPr="00D601AB" w:rsidRDefault="00434CE9"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17C919A1" wp14:editId="545FF469">
            <wp:extent cx="2171700" cy="1509713"/>
            <wp:effectExtent l="0" t="0" r="0" b="14605"/>
            <wp:docPr id="1545256510" name="Wykres 1">
              <a:extLst xmlns:a="http://schemas.openxmlformats.org/drawingml/2006/main">
                <a:ext uri="{FF2B5EF4-FFF2-40B4-BE49-F238E27FC236}">
                  <a16:creationId xmlns:a16="http://schemas.microsoft.com/office/drawing/2014/main" id="{360B31D2-F6DD-9E2A-2C99-DB28072F50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28CFEAB" w14:textId="2023F19F" w:rsidR="00434CE9" w:rsidRPr="00D76CF7" w:rsidRDefault="00434CE9" w:rsidP="00D601AB">
      <w:pPr>
        <w:pStyle w:val="Legenda"/>
        <w:spacing w:line="360" w:lineRule="auto"/>
        <w:jc w:val="center"/>
        <w:rPr>
          <w:rFonts w:ascii="Times New Roman" w:hAnsi="Times New Roman" w:cs="Times New Roman"/>
          <w:i w:val="0"/>
          <w:iCs w:val="0"/>
          <w:sz w:val="24"/>
          <w:szCs w:val="24"/>
        </w:rPr>
      </w:pPr>
      <w:r w:rsidRPr="00D76CF7">
        <w:rPr>
          <w:rFonts w:ascii="Times New Roman" w:hAnsi="Times New Roman" w:cs="Times New Roman"/>
          <w:sz w:val="24"/>
          <w:szCs w:val="24"/>
        </w:rPr>
        <w:t xml:space="preserve">Figure </w:t>
      </w:r>
      <w:r w:rsidR="007C1A2A" w:rsidRPr="00D76CF7">
        <w:rPr>
          <w:rFonts w:ascii="Times New Roman" w:hAnsi="Times New Roman" w:cs="Times New Roman"/>
          <w:sz w:val="24"/>
          <w:szCs w:val="24"/>
        </w:rPr>
        <w:t>23</w:t>
      </w:r>
      <w:r w:rsidRPr="00D76CF7">
        <w:rPr>
          <w:rFonts w:ascii="Times New Roman" w:hAnsi="Times New Roman" w:cs="Times New Roman"/>
          <w:sz w:val="24"/>
          <w:szCs w:val="24"/>
        </w:rPr>
        <w:t xml:space="preserve"> </w:t>
      </w:r>
      <w:r w:rsidR="00D76CF7" w:rsidRPr="00D76CF7">
        <w:rPr>
          <w:rFonts w:ascii="Times New Roman" w:hAnsi="Times New Roman" w:cs="Times New Roman"/>
          <w:i w:val="0"/>
          <w:iCs w:val="0"/>
          <w:sz w:val="24"/>
          <w:szCs w:val="24"/>
          <w:lang w:val="en-GB"/>
        </w:rPr>
        <w:t>Number of paracetamol concentration evaluations in the Toxicology Laboratory of ZDL WSzZ in Toruń in 2022 divided by gender</w:t>
      </w:r>
    </w:p>
    <w:p w14:paraId="7AABD51B" w14:textId="29F0D7AC" w:rsidR="00606DDD" w:rsidRPr="00D601AB" w:rsidRDefault="003962E8" w:rsidP="00D601AB">
      <w:pPr>
        <w:keepNext/>
        <w:spacing w:line="360" w:lineRule="auto"/>
        <w:jc w:val="center"/>
        <w:rPr>
          <w:rFonts w:ascii="Times New Roman" w:hAnsi="Times New Roman" w:cs="Times New Roman"/>
          <w:sz w:val="24"/>
          <w:szCs w:val="24"/>
        </w:rPr>
      </w:pPr>
      <w:r>
        <w:rPr>
          <w:noProof/>
        </w:rPr>
        <w:lastRenderedPageBreak/>
        <w:drawing>
          <wp:inline distT="0" distB="0" distL="0" distR="0" wp14:anchorId="178EADC4" wp14:editId="26090C13">
            <wp:extent cx="3390900" cy="2009775"/>
            <wp:effectExtent l="0" t="0" r="0" b="9525"/>
            <wp:docPr id="1205625249" name="Wykres 1">
              <a:extLst xmlns:a="http://schemas.openxmlformats.org/drawingml/2006/main">
                <a:ext uri="{FF2B5EF4-FFF2-40B4-BE49-F238E27FC236}">
                  <a16:creationId xmlns:a16="http://schemas.microsoft.com/office/drawing/2014/main" id="{B914C023-705B-DAF4-9E94-BFDF7145E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6E76BAB" w14:textId="06844F58" w:rsidR="00434CE9" w:rsidRPr="00D601AB" w:rsidRDefault="00606DDD" w:rsidP="00D601AB">
      <w:pPr>
        <w:pStyle w:val="Legenda"/>
        <w:spacing w:line="360" w:lineRule="auto"/>
        <w:jc w:val="center"/>
        <w:rPr>
          <w:rFonts w:ascii="Times New Roman" w:hAnsi="Times New Roman" w:cs="Times New Roman"/>
          <w:i w:val="0"/>
          <w:iCs w:val="0"/>
          <w:sz w:val="24"/>
          <w:szCs w:val="24"/>
        </w:rPr>
      </w:pPr>
      <w:r w:rsidRPr="00D601AB">
        <w:rPr>
          <w:rFonts w:ascii="Times New Roman" w:hAnsi="Times New Roman" w:cs="Times New Roman"/>
          <w:sz w:val="24"/>
          <w:szCs w:val="24"/>
        </w:rPr>
        <w:t xml:space="preserve">Figure </w:t>
      </w:r>
      <w:r w:rsidRPr="00D601AB">
        <w:rPr>
          <w:rFonts w:ascii="Times New Roman" w:hAnsi="Times New Roman" w:cs="Times New Roman"/>
          <w:sz w:val="24"/>
          <w:szCs w:val="24"/>
        </w:rPr>
        <w:fldChar w:fldCharType="begin"/>
      </w:r>
      <w:r w:rsidRPr="00D601AB">
        <w:rPr>
          <w:rFonts w:ascii="Times New Roman" w:hAnsi="Times New Roman" w:cs="Times New Roman"/>
          <w:sz w:val="24"/>
          <w:szCs w:val="24"/>
        </w:rPr>
        <w:instrText xml:space="preserve"> SEQ Figure \* ARABIC </w:instrText>
      </w:r>
      <w:r w:rsidRPr="00D601AB">
        <w:rPr>
          <w:rFonts w:ascii="Times New Roman" w:hAnsi="Times New Roman" w:cs="Times New Roman"/>
          <w:sz w:val="24"/>
          <w:szCs w:val="24"/>
        </w:rPr>
        <w:fldChar w:fldCharType="separate"/>
      </w:r>
      <w:r w:rsidR="007C1A2A" w:rsidRPr="00D601AB">
        <w:rPr>
          <w:rFonts w:ascii="Times New Roman" w:hAnsi="Times New Roman" w:cs="Times New Roman"/>
          <w:noProof/>
          <w:sz w:val="24"/>
          <w:szCs w:val="24"/>
        </w:rPr>
        <w:t>24</w:t>
      </w:r>
      <w:r w:rsidRPr="00D601AB">
        <w:rPr>
          <w:rFonts w:ascii="Times New Roman" w:hAnsi="Times New Roman" w:cs="Times New Roman"/>
          <w:noProof/>
          <w:sz w:val="24"/>
          <w:szCs w:val="24"/>
        </w:rPr>
        <w:fldChar w:fldCharType="end"/>
      </w:r>
      <w:r w:rsidRPr="00D601AB">
        <w:rPr>
          <w:rFonts w:ascii="Times New Roman" w:hAnsi="Times New Roman" w:cs="Times New Roman"/>
          <w:sz w:val="24"/>
          <w:szCs w:val="24"/>
        </w:rPr>
        <w:t xml:space="preserve"> </w:t>
      </w:r>
      <w:r w:rsidR="00C939F8" w:rsidRPr="00C939F8">
        <w:rPr>
          <w:rFonts w:ascii="Times New Roman" w:hAnsi="Times New Roman" w:cs="Times New Roman"/>
          <w:i w:val="0"/>
          <w:iCs w:val="0"/>
          <w:sz w:val="24"/>
          <w:szCs w:val="24"/>
          <w:lang w:val="en-GB"/>
        </w:rPr>
        <w:t>Number of paracetamol concentration evaluations in the Toxicology Laboratory of ZDL WSzZ in Toruń in 2022 divided into individual age groups</w:t>
      </w:r>
    </w:p>
    <w:p w14:paraId="7F6B3645" w14:textId="0411FE2B" w:rsidR="00606DDD" w:rsidRPr="00D601AB" w:rsidRDefault="002169D6" w:rsidP="00D601AB">
      <w:pPr>
        <w:keepNext/>
        <w:spacing w:line="360" w:lineRule="auto"/>
        <w:jc w:val="center"/>
        <w:rPr>
          <w:rFonts w:ascii="Times New Roman" w:hAnsi="Times New Roman" w:cs="Times New Roman"/>
          <w:sz w:val="24"/>
          <w:szCs w:val="24"/>
        </w:rPr>
      </w:pPr>
      <w:r w:rsidRPr="00D601AB">
        <w:rPr>
          <w:rFonts w:ascii="Times New Roman" w:hAnsi="Times New Roman" w:cs="Times New Roman"/>
          <w:noProof/>
          <w:sz w:val="24"/>
          <w:szCs w:val="24"/>
        </w:rPr>
        <w:drawing>
          <wp:inline distT="0" distB="0" distL="0" distR="0" wp14:anchorId="415065A1" wp14:editId="4622AF6F">
            <wp:extent cx="3429001" cy="2090738"/>
            <wp:effectExtent l="0" t="0" r="0" b="5080"/>
            <wp:docPr id="2134644016" name="Wykres 1">
              <a:extLst xmlns:a="http://schemas.openxmlformats.org/drawingml/2006/main">
                <a:ext uri="{FF2B5EF4-FFF2-40B4-BE49-F238E27FC236}">
                  <a16:creationId xmlns:a16="http://schemas.microsoft.com/office/drawing/2014/main" id="{31C209C3-205D-5647-D565-FDEE0CE5E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6659B9D" w14:textId="7C82B986" w:rsidR="00383294" w:rsidRPr="00E775C0" w:rsidRDefault="00606DDD" w:rsidP="00E775C0">
      <w:pPr>
        <w:pStyle w:val="Legenda"/>
        <w:spacing w:line="360" w:lineRule="auto"/>
        <w:jc w:val="center"/>
        <w:rPr>
          <w:rFonts w:ascii="Times New Roman" w:hAnsi="Times New Roman" w:cs="Times New Roman"/>
          <w:sz w:val="24"/>
          <w:szCs w:val="24"/>
        </w:rPr>
      </w:pPr>
      <w:r w:rsidRPr="00D601AB">
        <w:rPr>
          <w:rFonts w:ascii="Times New Roman" w:hAnsi="Times New Roman" w:cs="Times New Roman"/>
          <w:sz w:val="24"/>
          <w:szCs w:val="24"/>
        </w:rPr>
        <w:t>Figure</w:t>
      </w:r>
      <w:r w:rsidR="007C1A2A" w:rsidRPr="00D601AB">
        <w:rPr>
          <w:rFonts w:ascii="Times New Roman" w:hAnsi="Times New Roman" w:cs="Times New Roman"/>
          <w:sz w:val="24"/>
          <w:szCs w:val="24"/>
        </w:rPr>
        <w:t xml:space="preserve"> 25</w:t>
      </w:r>
      <w:r w:rsidRPr="00D601AB">
        <w:rPr>
          <w:rFonts w:ascii="Times New Roman" w:hAnsi="Times New Roman" w:cs="Times New Roman"/>
          <w:sz w:val="24"/>
          <w:szCs w:val="24"/>
        </w:rPr>
        <w:t xml:space="preserve"> </w:t>
      </w:r>
      <w:r w:rsidR="006C01AD" w:rsidRPr="006C01AD">
        <w:rPr>
          <w:rFonts w:ascii="Times New Roman" w:hAnsi="Times New Roman" w:cs="Times New Roman"/>
          <w:i w:val="0"/>
          <w:iCs w:val="0"/>
          <w:sz w:val="24"/>
          <w:szCs w:val="24"/>
          <w:lang w:val="en-GB"/>
        </w:rPr>
        <w:t>Number of paracetamol concentration evaluations in Toxicology Laboratory of ZDL WSzZ in Toruń in 2022 divided into obtained concentrations</w:t>
      </w:r>
    </w:p>
    <w:p w14:paraId="3D28670C" w14:textId="133B9306" w:rsidR="00383294" w:rsidRPr="00D601AB" w:rsidRDefault="00D109A4" w:rsidP="00D109A4">
      <w:pPr>
        <w:spacing w:line="36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71C5B632" w14:textId="77777777" w:rsidR="00FF498F" w:rsidRPr="00543318" w:rsidRDefault="00FF498F" w:rsidP="00FF498F">
      <w:pPr>
        <w:keepNext/>
        <w:spacing w:line="360" w:lineRule="auto"/>
        <w:ind w:firstLine="708"/>
        <w:jc w:val="both"/>
        <w:rPr>
          <w:rFonts w:ascii="Times New Roman" w:hAnsi="Times New Roman" w:cs="Times New Roman"/>
          <w:sz w:val="24"/>
          <w:szCs w:val="24"/>
          <w:lang w:val="en-GB"/>
        </w:rPr>
      </w:pPr>
      <w:r w:rsidRPr="00543318">
        <w:rPr>
          <w:rFonts w:ascii="Times New Roman" w:hAnsi="Times New Roman" w:cs="Times New Roman"/>
          <w:sz w:val="24"/>
          <w:szCs w:val="24"/>
          <w:lang w:val="en-GB"/>
        </w:rPr>
        <w:t>A</w:t>
      </w:r>
      <w:r>
        <w:rPr>
          <w:rFonts w:ascii="Times New Roman" w:hAnsi="Times New Roman" w:cs="Times New Roman"/>
          <w:sz w:val="24"/>
          <w:szCs w:val="24"/>
          <w:lang w:val="en-GB"/>
        </w:rPr>
        <w:t>n a</w:t>
      </w:r>
      <w:r w:rsidRPr="00543318">
        <w:rPr>
          <w:rFonts w:ascii="Times New Roman" w:hAnsi="Times New Roman" w:cs="Times New Roman"/>
          <w:sz w:val="24"/>
          <w:szCs w:val="24"/>
          <w:lang w:val="en-GB"/>
        </w:rPr>
        <w:t xml:space="preserve">ssessment of paracetamol concentration is an important </w:t>
      </w:r>
      <w:r>
        <w:rPr>
          <w:rFonts w:ascii="Times New Roman" w:hAnsi="Times New Roman" w:cs="Times New Roman"/>
          <w:sz w:val="24"/>
          <w:szCs w:val="24"/>
          <w:lang w:val="en-GB"/>
        </w:rPr>
        <w:t>diagnostic phase</w:t>
      </w:r>
      <w:r w:rsidRPr="00543318">
        <w:rPr>
          <w:rFonts w:ascii="Times New Roman" w:hAnsi="Times New Roman" w:cs="Times New Roman"/>
          <w:sz w:val="24"/>
          <w:szCs w:val="24"/>
          <w:lang w:val="en-GB"/>
        </w:rPr>
        <w:t xml:space="preserve"> when poisoning is suspected, as it precedes the implementation of an appropriate treatment</w:t>
      </w:r>
      <w:r>
        <w:rPr>
          <w:rFonts w:ascii="Times New Roman" w:hAnsi="Times New Roman" w:cs="Times New Roman"/>
          <w:sz w:val="24"/>
          <w:szCs w:val="24"/>
          <w:lang w:val="en-GB"/>
        </w:rPr>
        <w:t>.</w:t>
      </w:r>
      <w:r w:rsidRPr="00543318">
        <w:rPr>
          <w:rFonts w:ascii="Times New Roman" w:hAnsi="Times New Roman" w:cs="Times New Roman"/>
          <w:sz w:val="24"/>
          <w:szCs w:val="24"/>
          <w:lang w:val="en-GB"/>
        </w:rPr>
        <w:t xml:space="preserve"> This is due to the </w:t>
      </w:r>
      <w:r>
        <w:rPr>
          <w:rFonts w:ascii="Times New Roman" w:hAnsi="Times New Roman" w:cs="Times New Roman"/>
          <w:sz w:val="24"/>
          <w:szCs w:val="24"/>
          <w:lang w:val="en-GB"/>
        </w:rPr>
        <w:t>correlation</w:t>
      </w:r>
      <w:r w:rsidRPr="00543318">
        <w:rPr>
          <w:rFonts w:ascii="Times New Roman" w:hAnsi="Times New Roman" w:cs="Times New Roman"/>
          <w:sz w:val="24"/>
          <w:szCs w:val="24"/>
          <w:lang w:val="en-GB"/>
        </w:rPr>
        <w:t xml:space="preserve"> between the drug concentration in the blood and a requirement to use a specific antidote – acetylcysteine. It is also possible to predict toxicity based on the concentration of the drug in the blood [9]. It should be remembered that in case of poisoning, lack </w:t>
      </w:r>
      <w:r>
        <w:rPr>
          <w:rFonts w:ascii="Times New Roman" w:hAnsi="Times New Roman" w:cs="Times New Roman"/>
          <w:sz w:val="24"/>
          <w:szCs w:val="24"/>
          <w:lang w:val="en-GB"/>
        </w:rPr>
        <w:t xml:space="preserve">of </w:t>
      </w:r>
      <w:r w:rsidRPr="00543318">
        <w:rPr>
          <w:rFonts w:ascii="Times New Roman" w:hAnsi="Times New Roman" w:cs="Times New Roman"/>
          <w:sz w:val="24"/>
          <w:szCs w:val="24"/>
          <w:lang w:val="en-GB"/>
        </w:rPr>
        <w:t>or delay in acetylcysteine administration most often leads to liver damage. It is believed that paracetamol is completely absorbed into the body after 4 hours, therefore</w:t>
      </w:r>
      <w:r>
        <w:rPr>
          <w:rFonts w:ascii="Times New Roman" w:hAnsi="Times New Roman" w:cs="Times New Roman"/>
          <w:sz w:val="24"/>
          <w:szCs w:val="24"/>
          <w:lang w:val="en-GB"/>
        </w:rPr>
        <w:t>,</w:t>
      </w:r>
      <w:r w:rsidRPr="00543318">
        <w:rPr>
          <w:rFonts w:ascii="Times New Roman" w:hAnsi="Times New Roman" w:cs="Times New Roman"/>
          <w:sz w:val="24"/>
          <w:szCs w:val="24"/>
          <w:lang w:val="en-GB"/>
        </w:rPr>
        <w:t xml:space="preserve"> it is recommended to collect blood for testing within </w:t>
      </w:r>
      <w:r>
        <w:rPr>
          <w:rFonts w:ascii="Times New Roman" w:hAnsi="Times New Roman" w:cs="Times New Roman"/>
          <w:sz w:val="24"/>
          <w:szCs w:val="24"/>
          <w:lang w:val="en-GB"/>
        </w:rPr>
        <w:t xml:space="preserve">the </w:t>
      </w:r>
      <w:r w:rsidRPr="00543318">
        <w:rPr>
          <w:rFonts w:ascii="Times New Roman" w:hAnsi="Times New Roman" w:cs="Times New Roman"/>
          <w:sz w:val="24"/>
          <w:szCs w:val="24"/>
          <w:lang w:val="en-GB"/>
        </w:rPr>
        <w:t xml:space="preserve">aforementioned timespan, which is particularly important when assessing the toxicity. By </w:t>
      </w:r>
      <w:r>
        <w:rPr>
          <w:rFonts w:ascii="Times New Roman" w:hAnsi="Times New Roman" w:cs="Times New Roman"/>
          <w:sz w:val="24"/>
          <w:szCs w:val="24"/>
          <w:lang w:val="en-GB"/>
        </w:rPr>
        <w:t>being aware of</w:t>
      </w:r>
      <w:r w:rsidRPr="00543318">
        <w:rPr>
          <w:rFonts w:ascii="Times New Roman" w:hAnsi="Times New Roman" w:cs="Times New Roman"/>
          <w:sz w:val="24"/>
          <w:szCs w:val="24"/>
          <w:lang w:val="en-GB"/>
        </w:rPr>
        <w:t xml:space="preserve"> the concentration of paracetamol in the blood and the time that has passed since </w:t>
      </w:r>
      <w:r>
        <w:rPr>
          <w:rFonts w:ascii="Times New Roman" w:hAnsi="Times New Roman" w:cs="Times New Roman"/>
          <w:sz w:val="24"/>
          <w:szCs w:val="24"/>
          <w:lang w:val="en-GB"/>
        </w:rPr>
        <w:t xml:space="preserve">its </w:t>
      </w:r>
      <w:r w:rsidRPr="00543318">
        <w:rPr>
          <w:rFonts w:ascii="Times New Roman" w:hAnsi="Times New Roman" w:cs="Times New Roman"/>
          <w:sz w:val="24"/>
          <w:szCs w:val="24"/>
          <w:lang w:val="en-GB"/>
        </w:rPr>
        <w:t xml:space="preserve">administration, </w:t>
      </w:r>
      <w:r>
        <w:rPr>
          <w:rFonts w:ascii="Times New Roman" w:hAnsi="Times New Roman" w:cs="Times New Roman"/>
          <w:sz w:val="24"/>
          <w:szCs w:val="24"/>
          <w:lang w:val="en-GB"/>
        </w:rPr>
        <w:t xml:space="preserve">a </w:t>
      </w:r>
      <w:r w:rsidRPr="00543318">
        <w:rPr>
          <w:rFonts w:ascii="Times New Roman" w:hAnsi="Times New Roman" w:cs="Times New Roman"/>
          <w:sz w:val="24"/>
          <w:szCs w:val="24"/>
          <w:lang w:val="en-GB"/>
        </w:rPr>
        <w:t xml:space="preserve">clinician is able </w:t>
      </w:r>
      <w:r w:rsidRPr="00543318">
        <w:rPr>
          <w:rFonts w:ascii="Times New Roman" w:hAnsi="Times New Roman" w:cs="Times New Roman"/>
          <w:sz w:val="24"/>
          <w:szCs w:val="24"/>
          <w:lang w:val="en-GB"/>
        </w:rPr>
        <w:lastRenderedPageBreak/>
        <w:t xml:space="preserve">to determine the degree of exposure to liver damage and decide on the use of the antidote </w:t>
      </w:r>
      <w:r>
        <w:rPr>
          <w:rFonts w:ascii="Times New Roman" w:hAnsi="Times New Roman" w:cs="Times New Roman"/>
          <w:sz w:val="24"/>
          <w:szCs w:val="24"/>
          <w:lang w:val="en-GB"/>
        </w:rPr>
        <w:t xml:space="preserve">with the help of </w:t>
      </w:r>
      <w:r w:rsidRPr="00543318">
        <w:rPr>
          <w:rFonts w:ascii="Times New Roman" w:hAnsi="Times New Roman" w:cs="Times New Roman"/>
          <w:sz w:val="24"/>
          <w:szCs w:val="24"/>
          <w:lang w:val="en-GB"/>
        </w:rPr>
        <w:t>the Rumack-Matthew nomogram. If there is no information</w:t>
      </w:r>
      <w:r>
        <w:rPr>
          <w:rFonts w:ascii="Times New Roman" w:hAnsi="Times New Roman" w:cs="Times New Roman"/>
          <w:sz w:val="24"/>
          <w:szCs w:val="24"/>
          <w:lang w:val="en-GB"/>
        </w:rPr>
        <w:t xml:space="preserve"> provided</w:t>
      </w:r>
      <w:r w:rsidRPr="00543318">
        <w:rPr>
          <w:rFonts w:ascii="Times New Roman" w:hAnsi="Times New Roman" w:cs="Times New Roman"/>
          <w:sz w:val="24"/>
          <w:szCs w:val="24"/>
          <w:lang w:val="en-GB"/>
        </w:rPr>
        <w:t xml:space="preserve"> about the potential time of ingestion, the test sample is collected promptly after </w:t>
      </w:r>
      <w:r>
        <w:rPr>
          <w:rFonts w:ascii="Times New Roman" w:hAnsi="Times New Roman" w:cs="Times New Roman"/>
          <w:sz w:val="24"/>
          <w:szCs w:val="24"/>
          <w:lang w:val="en-GB"/>
        </w:rPr>
        <w:t xml:space="preserve">a </w:t>
      </w:r>
      <w:r w:rsidRPr="00543318">
        <w:rPr>
          <w:rFonts w:ascii="Times New Roman" w:hAnsi="Times New Roman" w:cs="Times New Roman"/>
          <w:sz w:val="24"/>
          <w:szCs w:val="24"/>
          <w:lang w:val="en-GB"/>
        </w:rPr>
        <w:t>patient’s admission to the hospital. The nomogram is not applicable in this case.</w:t>
      </w:r>
    </w:p>
    <w:p w14:paraId="48EBA283" w14:textId="77777777" w:rsidR="00FF498F" w:rsidRPr="00543318" w:rsidRDefault="00FF498F" w:rsidP="00FF498F">
      <w:pPr>
        <w:keepNext/>
        <w:spacing w:line="360" w:lineRule="auto"/>
        <w:jc w:val="both"/>
        <w:rPr>
          <w:rFonts w:ascii="Times New Roman" w:hAnsi="Times New Roman" w:cs="Times New Roman"/>
          <w:sz w:val="24"/>
          <w:szCs w:val="24"/>
          <w:lang w:val="en-GB"/>
        </w:rPr>
      </w:pPr>
      <w:r w:rsidRPr="00543318">
        <w:rPr>
          <w:rFonts w:ascii="Times New Roman" w:hAnsi="Times New Roman" w:cs="Times New Roman"/>
          <w:sz w:val="24"/>
          <w:szCs w:val="24"/>
          <w:lang w:val="en-GB"/>
        </w:rPr>
        <w:tab/>
        <w:t>Additionally, the Rumack-Matthew nomogram divides patients into separate risk groups after acetaminophen overdose. The decision to implement treatment is therefore most often based on the classification into the initial risk group. However, there are studies indicating the possibility of changing</w:t>
      </w:r>
      <w:r>
        <w:rPr>
          <w:rFonts w:ascii="Times New Roman" w:hAnsi="Times New Roman" w:cs="Times New Roman"/>
          <w:sz w:val="24"/>
          <w:szCs w:val="24"/>
          <w:lang w:val="en-GB"/>
        </w:rPr>
        <w:t xml:space="preserve"> the</w:t>
      </w:r>
      <w:r w:rsidRPr="00543318">
        <w:rPr>
          <w:rFonts w:ascii="Times New Roman" w:hAnsi="Times New Roman" w:cs="Times New Roman"/>
          <w:sz w:val="24"/>
          <w:szCs w:val="24"/>
          <w:lang w:val="en-GB"/>
        </w:rPr>
        <w:t xml:space="preserve"> interpretation of the results in relation to the nomogram during a series of tests </w:t>
      </w:r>
      <w:r>
        <w:rPr>
          <w:rFonts w:ascii="Times New Roman" w:hAnsi="Times New Roman" w:cs="Times New Roman"/>
          <w:sz w:val="24"/>
          <w:szCs w:val="24"/>
          <w:lang w:val="en-GB"/>
        </w:rPr>
        <w:t>performed on</w:t>
      </w:r>
      <w:r w:rsidRPr="00543318">
        <w:rPr>
          <w:rFonts w:ascii="Times New Roman" w:hAnsi="Times New Roman" w:cs="Times New Roman"/>
          <w:sz w:val="24"/>
          <w:szCs w:val="24"/>
          <w:lang w:val="en-GB"/>
        </w:rPr>
        <w:t xml:space="preserve"> the poisoned patient (line-crossing). This phenomenon is poorly understood and one of its potential causes may be delayed elimination </w:t>
      </w:r>
      <w:r>
        <w:rPr>
          <w:rFonts w:ascii="Times New Roman" w:hAnsi="Times New Roman" w:cs="Times New Roman"/>
          <w:sz w:val="24"/>
          <w:szCs w:val="24"/>
          <w:lang w:val="en-GB"/>
        </w:rPr>
        <w:t>due to an</w:t>
      </w:r>
      <w:r w:rsidRPr="00543318">
        <w:rPr>
          <w:rFonts w:ascii="Times New Roman" w:hAnsi="Times New Roman" w:cs="Times New Roman"/>
          <w:sz w:val="24"/>
          <w:szCs w:val="24"/>
          <w:lang w:val="en-GB"/>
        </w:rPr>
        <w:t xml:space="preserve"> already existing liver damage. In the context of these reports and the frequent difficulties in </w:t>
      </w:r>
      <w:r>
        <w:rPr>
          <w:rFonts w:ascii="Times New Roman" w:hAnsi="Times New Roman" w:cs="Times New Roman"/>
          <w:sz w:val="24"/>
          <w:szCs w:val="24"/>
          <w:lang w:val="en-GB"/>
        </w:rPr>
        <w:t>descerning</w:t>
      </w:r>
      <w:r w:rsidRPr="00543318">
        <w:rPr>
          <w:rFonts w:ascii="Times New Roman" w:hAnsi="Times New Roman" w:cs="Times New Roman"/>
          <w:sz w:val="24"/>
          <w:szCs w:val="24"/>
          <w:lang w:val="en-GB"/>
        </w:rPr>
        <w:t xml:space="preserve"> the amount of time since intoxication, recommendations call for a series of paracetamol concentration tests until an individual risk of liver damage is clearly determined [10]. </w:t>
      </w:r>
    </w:p>
    <w:p w14:paraId="12C6494B" w14:textId="77777777" w:rsidR="00FF498F" w:rsidRPr="00543318" w:rsidRDefault="00FF498F" w:rsidP="00FF498F">
      <w:pPr>
        <w:keepNext/>
        <w:spacing w:line="360" w:lineRule="auto"/>
        <w:jc w:val="both"/>
        <w:rPr>
          <w:rFonts w:ascii="Times New Roman" w:hAnsi="Times New Roman" w:cs="Times New Roman"/>
          <w:sz w:val="24"/>
          <w:szCs w:val="24"/>
          <w:lang w:val="en-GB"/>
        </w:rPr>
      </w:pPr>
      <w:r w:rsidRPr="00543318">
        <w:rPr>
          <w:rFonts w:ascii="Times New Roman" w:hAnsi="Times New Roman" w:cs="Times New Roman"/>
          <w:sz w:val="24"/>
          <w:szCs w:val="24"/>
          <w:lang w:val="en-GB"/>
        </w:rPr>
        <w:tab/>
        <w:t xml:space="preserve">Non-specific symptoms in the early stages of poisoning </w:t>
      </w:r>
      <w:r w:rsidRPr="0055436D">
        <w:rPr>
          <w:rFonts w:ascii="Times New Roman" w:hAnsi="Times New Roman" w:cs="Times New Roman"/>
          <w:sz w:val="24"/>
          <w:szCs w:val="24"/>
          <w:lang w:val="en-GB"/>
        </w:rPr>
        <w:t xml:space="preserve">contribute to difficulties in </w:t>
      </w:r>
      <w:r>
        <w:rPr>
          <w:rFonts w:ascii="Times New Roman" w:hAnsi="Times New Roman" w:cs="Times New Roman"/>
          <w:sz w:val="24"/>
          <w:szCs w:val="24"/>
          <w:lang w:val="en-GB"/>
        </w:rPr>
        <w:t xml:space="preserve">formulating a </w:t>
      </w:r>
      <w:r w:rsidRPr="0055436D">
        <w:rPr>
          <w:rFonts w:ascii="Times New Roman" w:hAnsi="Times New Roman" w:cs="Times New Roman"/>
          <w:sz w:val="24"/>
          <w:szCs w:val="24"/>
          <w:lang w:val="en-GB"/>
        </w:rPr>
        <w:t>diagnosis</w:t>
      </w:r>
      <w:r>
        <w:rPr>
          <w:rFonts w:ascii="Times New Roman" w:hAnsi="Times New Roman" w:cs="Times New Roman"/>
          <w:sz w:val="24"/>
          <w:szCs w:val="24"/>
          <w:lang w:val="en-GB"/>
        </w:rPr>
        <w:t xml:space="preserve"> and </w:t>
      </w:r>
      <w:r w:rsidRPr="00543318">
        <w:rPr>
          <w:rFonts w:ascii="Times New Roman" w:hAnsi="Times New Roman" w:cs="Times New Roman"/>
          <w:sz w:val="24"/>
          <w:szCs w:val="24"/>
          <w:lang w:val="en-GB"/>
        </w:rPr>
        <w:t>delaying the treatment</w:t>
      </w:r>
      <w:r>
        <w:rPr>
          <w:rFonts w:ascii="Times New Roman" w:hAnsi="Times New Roman" w:cs="Times New Roman"/>
          <w:sz w:val="24"/>
          <w:szCs w:val="24"/>
          <w:lang w:val="en-GB"/>
        </w:rPr>
        <w:t xml:space="preserve"> implementation</w:t>
      </w:r>
      <w:r w:rsidRPr="00543318">
        <w:rPr>
          <w:rFonts w:ascii="Times New Roman" w:hAnsi="Times New Roman" w:cs="Times New Roman"/>
          <w:sz w:val="24"/>
          <w:szCs w:val="24"/>
          <w:lang w:val="en-GB"/>
        </w:rPr>
        <w:t xml:space="preserve">. In his study on paracetamol toxicity, Scott J. Saccomano emphasizes the importance of performing key laboratory tests at every stage of poisoning. In addition to assessing the drug concentration in patients’ blood, attention should be paid to the basic parameters of liver function (alanine and aspartate aminotransferase concentrations and total bilirubin levels), biochemical parameters (electrolytes, creatinine, blood urea nitrogen content) and the level of amylase in the serum. </w:t>
      </w:r>
      <w:r>
        <w:rPr>
          <w:rFonts w:ascii="Times New Roman" w:hAnsi="Times New Roman" w:cs="Times New Roman"/>
          <w:sz w:val="24"/>
          <w:szCs w:val="24"/>
          <w:lang w:val="en-GB"/>
        </w:rPr>
        <w:t>Moreover</w:t>
      </w:r>
      <w:r w:rsidRPr="00543318">
        <w:rPr>
          <w:rFonts w:ascii="Times New Roman" w:hAnsi="Times New Roman" w:cs="Times New Roman"/>
          <w:sz w:val="24"/>
          <w:szCs w:val="24"/>
          <w:lang w:val="en-GB"/>
        </w:rPr>
        <w:t>, it is recommended to perform complete blood count and to assess coagulation parameters [11].</w:t>
      </w:r>
    </w:p>
    <w:p w14:paraId="27BEDA8D" w14:textId="0E1F09A2" w:rsidR="00D109A4" w:rsidRPr="00543318" w:rsidRDefault="00FF498F" w:rsidP="00D109A4">
      <w:pPr>
        <w:keepNext/>
        <w:spacing w:line="360" w:lineRule="auto"/>
        <w:jc w:val="both"/>
        <w:rPr>
          <w:rFonts w:ascii="Times New Roman" w:hAnsi="Times New Roman" w:cs="Times New Roman"/>
          <w:sz w:val="24"/>
          <w:szCs w:val="24"/>
          <w:lang w:val="en-GB"/>
        </w:rPr>
      </w:pPr>
      <w:r w:rsidRPr="00543318">
        <w:rPr>
          <w:rFonts w:ascii="Times New Roman" w:hAnsi="Times New Roman" w:cs="Times New Roman"/>
          <w:sz w:val="24"/>
          <w:szCs w:val="24"/>
          <w:lang w:val="en-GB"/>
        </w:rPr>
        <w:tab/>
        <w:t xml:space="preserve">There are many reports that paracetamol hepatotoxicity is increased </w:t>
      </w:r>
      <w:r>
        <w:rPr>
          <w:rFonts w:ascii="Times New Roman" w:hAnsi="Times New Roman" w:cs="Times New Roman"/>
          <w:sz w:val="24"/>
          <w:szCs w:val="24"/>
          <w:lang w:val="en-GB"/>
        </w:rPr>
        <w:t>in</w:t>
      </w:r>
      <w:r w:rsidRPr="00543318">
        <w:rPr>
          <w:rFonts w:ascii="Times New Roman" w:hAnsi="Times New Roman" w:cs="Times New Roman"/>
          <w:sz w:val="24"/>
          <w:szCs w:val="24"/>
          <w:lang w:val="en-GB"/>
        </w:rPr>
        <w:t xml:space="preserve"> people chronically abusing ethyl alcohol. Not only are these individuals at</w:t>
      </w:r>
      <w:r>
        <w:rPr>
          <w:rFonts w:ascii="Times New Roman" w:hAnsi="Times New Roman" w:cs="Times New Roman"/>
          <w:sz w:val="24"/>
          <w:szCs w:val="24"/>
          <w:lang w:val="en-GB"/>
        </w:rPr>
        <w:t xml:space="preserve"> an</w:t>
      </w:r>
      <w:r w:rsidRPr="00543318">
        <w:rPr>
          <w:rFonts w:ascii="Times New Roman" w:hAnsi="Times New Roman" w:cs="Times New Roman"/>
          <w:sz w:val="24"/>
          <w:szCs w:val="24"/>
          <w:lang w:val="en-GB"/>
        </w:rPr>
        <w:t xml:space="preserve"> increased risk of severe and fatal liver </w:t>
      </w:r>
      <w:r>
        <w:rPr>
          <w:rFonts w:ascii="Times New Roman" w:hAnsi="Times New Roman" w:cs="Times New Roman"/>
          <w:sz w:val="24"/>
          <w:szCs w:val="24"/>
          <w:lang w:val="en-GB"/>
        </w:rPr>
        <w:t>damage</w:t>
      </w:r>
      <w:r w:rsidRPr="00543318">
        <w:rPr>
          <w:rFonts w:ascii="Times New Roman" w:hAnsi="Times New Roman" w:cs="Times New Roman"/>
          <w:sz w:val="24"/>
          <w:szCs w:val="24"/>
          <w:lang w:val="en-GB"/>
        </w:rPr>
        <w:t xml:space="preserve"> following acute overdose, but they may also experience serious liver </w:t>
      </w:r>
      <w:r>
        <w:rPr>
          <w:rFonts w:ascii="Times New Roman" w:hAnsi="Times New Roman" w:cs="Times New Roman"/>
          <w:sz w:val="24"/>
          <w:szCs w:val="24"/>
          <w:lang w:val="en-GB"/>
        </w:rPr>
        <w:t>problems</w:t>
      </w:r>
      <w:r w:rsidRPr="00543318">
        <w:rPr>
          <w:rFonts w:ascii="Times New Roman" w:hAnsi="Times New Roman" w:cs="Times New Roman"/>
          <w:sz w:val="24"/>
          <w:szCs w:val="24"/>
          <w:lang w:val="en-GB"/>
        </w:rPr>
        <w:t xml:space="preserve"> associated with the use of the drug at therapeutic concentration levels. Chronic ethanol administration has been proven to induce microsomal enzymes in animals, which, as expected, increased the metabolic activation and the hepatotoxicity of paracetamol. In these circumstances</w:t>
      </w:r>
      <w:r>
        <w:rPr>
          <w:rFonts w:ascii="Times New Roman" w:hAnsi="Times New Roman" w:cs="Times New Roman"/>
          <w:sz w:val="24"/>
          <w:szCs w:val="24"/>
          <w:lang w:val="en-GB"/>
        </w:rPr>
        <w:t>,</w:t>
      </w:r>
      <w:r w:rsidRPr="00543318">
        <w:rPr>
          <w:rFonts w:ascii="Times New Roman" w:hAnsi="Times New Roman" w:cs="Times New Roman"/>
          <w:sz w:val="24"/>
          <w:szCs w:val="24"/>
          <w:lang w:val="en-GB"/>
        </w:rPr>
        <w:t xml:space="preserve"> it is reasonable to suspect that a similar increase of toxicity can occur in case of alcoholics. Such relationship was suggested in a </w:t>
      </w:r>
      <w:r>
        <w:rPr>
          <w:rFonts w:ascii="Times New Roman" w:hAnsi="Times New Roman" w:cs="Times New Roman"/>
          <w:sz w:val="24"/>
          <w:szCs w:val="24"/>
          <w:lang w:val="en-GB"/>
        </w:rPr>
        <w:t xml:space="preserve">Prescott’s </w:t>
      </w:r>
      <w:r w:rsidRPr="00543318">
        <w:rPr>
          <w:rFonts w:ascii="Times New Roman" w:hAnsi="Times New Roman" w:cs="Times New Roman"/>
          <w:sz w:val="24"/>
          <w:szCs w:val="24"/>
          <w:lang w:val="en-GB"/>
        </w:rPr>
        <w:t>study</w:t>
      </w:r>
      <w:r>
        <w:rPr>
          <w:rFonts w:ascii="Times New Roman" w:hAnsi="Times New Roman" w:cs="Times New Roman"/>
          <w:sz w:val="24"/>
          <w:szCs w:val="24"/>
          <w:lang w:val="en-GB"/>
        </w:rPr>
        <w:t>,</w:t>
      </w:r>
      <w:r w:rsidRPr="00543318">
        <w:rPr>
          <w:rFonts w:ascii="Times New Roman" w:hAnsi="Times New Roman" w:cs="Times New Roman"/>
          <w:sz w:val="24"/>
          <w:szCs w:val="24"/>
          <w:lang w:val="en-GB"/>
        </w:rPr>
        <w:t xml:space="preserve"> in which the outcomes of severe paracetamol poisonings in potentially addicted patients were worse than in similar patients from the control group [12]</w:t>
      </w:r>
      <w:r>
        <w:rPr>
          <w:rFonts w:ascii="Times New Roman" w:hAnsi="Times New Roman" w:cs="Times New Roman"/>
          <w:sz w:val="24"/>
          <w:szCs w:val="24"/>
          <w:lang w:val="en-GB"/>
        </w:rPr>
        <w:t>.</w:t>
      </w:r>
      <w:r w:rsidRPr="00543318">
        <w:rPr>
          <w:rFonts w:ascii="Times New Roman" w:hAnsi="Times New Roman" w:cs="Times New Roman"/>
          <w:sz w:val="24"/>
          <w:szCs w:val="24"/>
          <w:lang w:val="en-GB"/>
        </w:rPr>
        <w:t xml:space="preserve"> It has also been shown that simultaneous short-term consumption of ethyl alcohol and standard doses of paracetamol may contribute to an increased </w:t>
      </w:r>
      <w:r w:rsidRPr="00543318">
        <w:rPr>
          <w:rFonts w:ascii="Times New Roman" w:hAnsi="Times New Roman" w:cs="Times New Roman"/>
          <w:sz w:val="24"/>
          <w:szCs w:val="24"/>
          <w:lang w:val="en-GB"/>
        </w:rPr>
        <w:lastRenderedPageBreak/>
        <w:t>risk of toxic liver damage [8]. However, it should be remembered that the effect of alcohol depends on the order in which</w:t>
      </w:r>
      <w:r>
        <w:rPr>
          <w:rFonts w:ascii="Times New Roman" w:hAnsi="Times New Roman" w:cs="Times New Roman"/>
          <w:sz w:val="24"/>
          <w:szCs w:val="24"/>
          <w:lang w:val="en-GB"/>
        </w:rPr>
        <w:t xml:space="preserve"> the</w:t>
      </w:r>
      <w:r w:rsidRPr="00543318">
        <w:rPr>
          <w:rFonts w:ascii="Times New Roman" w:hAnsi="Times New Roman" w:cs="Times New Roman"/>
          <w:sz w:val="24"/>
          <w:szCs w:val="24"/>
          <w:lang w:val="en-GB"/>
        </w:rPr>
        <w:t xml:space="preserve"> aforementioned substances are taken. Based on scientific experience</w:t>
      </w:r>
      <w:r>
        <w:rPr>
          <w:rFonts w:ascii="Times New Roman" w:hAnsi="Times New Roman" w:cs="Times New Roman"/>
          <w:sz w:val="24"/>
          <w:szCs w:val="24"/>
          <w:lang w:val="en-GB"/>
        </w:rPr>
        <w:t>,</w:t>
      </w:r>
      <w:r w:rsidRPr="00543318">
        <w:rPr>
          <w:rFonts w:ascii="Times New Roman" w:hAnsi="Times New Roman" w:cs="Times New Roman"/>
          <w:sz w:val="24"/>
          <w:szCs w:val="24"/>
          <w:lang w:val="en-GB"/>
        </w:rPr>
        <w:t xml:space="preserve"> it has been concluded that ethanol could have a protective effect on hepatocytes when consumed in large amounts </w:t>
      </w:r>
      <w:r>
        <w:rPr>
          <w:rFonts w:ascii="Times New Roman" w:hAnsi="Times New Roman" w:cs="Times New Roman"/>
          <w:sz w:val="24"/>
          <w:szCs w:val="24"/>
          <w:lang w:val="en-GB"/>
        </w:rPr>
        <w:t>and</w:t>
      </w:r>
      <w:r w:rsidRPr="00543318">
        <w:rPr>
          <w:rFonts w:ascii="Times New Roman" w:hAnsi="Times New Roman" w:cs="Times New Roman"/>
          <w:sz w:val="24"/>
          <w:szCs w:val="24"/>
          <w:lang w:val="en-GB"/>
        </w:rPr>
        <w:t xml:space="preserve"> taken after paracetamol, although this depends on the doses and the time between</w:t>
      </w:r>
      <w:r>
        <w:rPr>
          <w:rFonts w:ascii="Times New Roman" w:hAnsi="Times New Roman" w:cs="Times New Roman"/>
          <w:sz w:val="24"/>
          <w:szCs w:val="24"/>
          <w:lang w:val="en-GB"/>
        </w:rPr>
        <w:t xml:space="preserve"> the</w:t>
      </w:r>
      <w:r w:rsidRPr="00543318">
        <w:rPr>
          <w:rFonts w:ascii="Times New Roman" w:hAnsi="Times New Roman" w:cs="Times New Roman"/>
          <w:sz w:val="24"/>
          <w:szCs w:val="24"/>
          <w:lang w:val="en-GB"/>
        </w:rPr>
        <w:t xml:space="preserve"> intakes of both substances [13]. This study shows that in 11 cases out of 84, the ethanol concentration was above 0,2</w:t>
      </w:r>
      <w:r w:rsidR="00DD1984">
        <w:rPr>
          <w:rFonts w:ascii="Times New Roman" w:hAnsi="Times New Roman" w:cs="Times New Roman"/>
          <w:sz w:val="24"/>
          <w:szCs w:val="24"/>
          <w:lang w:val="en-GB"/>
        </w:rPr>
        <w:t xml:space="preserve"> </w:t>
      </w:r>
      <w:r w:rsidRPr="00543318">
        <w:rPr>
          <w:rFonts w:ascii="Times New Roman" w:hAnsi="Times New Roman" w:cs="Times New Roman"/>
          <w:sz w:val="24"/>
          <w:szCs w:val="24"/>
          <w:lang w:val="en-GB"/>
        </w:rPr>
        <w:t xml:space="preserve">g/l, </w:t>
      </w:r>
      <w:r>
        <w:rPr>
          <w:rFonts w:ascii="Times New Roman" w:hAnsi="Times New Roman" w:cs="Times New Roman"/>
          <w:sz w:val="24"/>
          <w:szCs w:val="24"/>
          <w:lang w:val="en-GB"/>
        </w:rPr>
        <w:t>however,</w:t>
      </w:r>
      <w:r w:rsidRPr="00543318">
        <w:rPr>
          <w:rFonts w:ascii="Times New Roman" w:hAnsi="Times New Roman" w:cs="Times New Roman"/>
          <w:sz w:val="24"/>
          <w:szCs w:val="24"/>
          <w:lang w:val="en-GB"/>
        </w:rPr>
        <w:t xml:space="preserve"> there is no data on the order in which these xenobiotics were taken</w:t>
      </w:r>
      <w:r>
        <w:rPr>
          <w:rFonts w:ascii="Times New Roman" w:hAnsi="Times New Roman" w:cs="Times New Roman"/>
          <w:sz w:val="24"/>
          <w:szCs w:val="24"/>
          <w:lang w:val="en-GB"/>
        </w:rPr>
        <w:t>. It</w:t>
      </w:r>
      <w:r w:rsidRPr="00543318">
        <w:rPr>
          <w:rFonts w:ascii="Times New Roman" w:hAnsi="Times New Roman" w:cs="Times New Roman"/>
          <w:sz w:val="24"/>
          <w:szCs w:val="24"/>
          <w:lang w:val="en-GB"/>
        </w:rPr>
        <w:t xml:space="preserve"> is important to make the public aware of the risk of simultaneous use of ethanol and paracetamol and the </w:t>
      </w:r>
      <w:r>
        <w:rPr>
          <w:rFonts w:ascii="Times New Roman" w:hAnsi="Times New Roman" w:cs="Times New Roman"/>
          <w:sz w:val="24"/>
          <w:szCs w:val="24"/>
          <w:lang w:val="en-GB"/>
        </w:rPr>
        <w:t>ingestion</w:t>
      </w:r>
      <w:r w:rsidRPr="00543318">
        <w:rPr>
          <w:rFonts w:ascii="Times New Roman" w:hAnsi="Times New Roman" w:cs="Times New Roman"/>
          <w:sz w:val="24"/>
          <w:szCs w:val="24"/>
          <w:lang w:val="en-GB"/>
        </w:rPr>
        <w:t xml:space="preserve"> of paracetamol after alcohol</w:t>
      </w:r>
      <w:r>
        <w:rPr>
          <w:rFonts w:ascii="Times New Roman" w:hAnsi="Times New Roman" w:cs="Times New Roman"/>
          <w:sz w:val="24"/>
          <w:szCs w:val="24"/>
          <w:lang w:val="en-GB"/>
        </w:rPr>
        <w:t xml:space="preserve"> consumption</w:t>
      </w:r>
      <w:r w:rsidRPr="00543318">
        <w:rPr>
          <w:rFonts w:ascii="Times New Roman" w:hAnsi="Times New Roman" w:cs="Times New Roman"/>
          <w:sz w:val="24"/>
          <w:szCs w:val="24"/>
          <w:lang w:val="en-GB"/>
        </w:rPr>
        <w:t xml:space="preserve">. It is no less important to spread knowledge about the composition of individual OTC drugs, most often containing the same active substance under different trade names, </w:t>
      </w:r>
      <w:r>
        <w:rPr>
          <w:rFonts w:ascii="Times New Roman" w:hAnsi="Times New Roman" w:cs="Times New Roman"/>
          <w:sz w:val="24"/>
          <w:szCs w:val="24"/>
          <w:lang w:val="en-GB"/>
        </w:rPr>
        <w:t>as</w:t>
      </w:r>
      <w:r w:rsidRPr="00543318">
        <w:rPr>
          <w:rFonts w:ascii="Times New Roman" w:hAnsi="Times New Roman" w:cs="Times New Roman"/>
          <w:sz w:val="24"/>
          <w:szCs w:val="24"/>
          <w:lang w:val="en-GB"/>
        </w:rPr>
        <w:t xml:space="preserve"> wide access to them </w:t>
      </w:r>
      <w:r>
        <w:rPr>
          <w:rFonts w:ascii="Times New Roman" w:hAnsi="Times New Roman" w:cs="Times New Roman"/>
          <w:sz w:val="24"/>
          <w:szCs w:val="24"/>
          <w:lang w:val="en-GB"/>
        </w:rPr>
        <w:t>combined with</w:t>
      </w:r>
      <w:r w:rsidRPr="00543318">
        <w:rPr>
          <w:rFonts w:ascii="Times New Roman" w:hAnsi="Times New Roman" w:cs="Times New Roman"/>
          <w:sz w:val="24"/>
          <w:szCs w:val="24"/>
          <w:lang w:val="en-GB"/>
        </w:rPr>
        <w:t xml:space="preserve"> lack of awareness </w:t>
      </w:r>
      <w:r>
        <w:rPr>
          <w:rFonts w:ascii="Times New Roman" w:hAnsi="Times New Roman" w:cs="Times New Roman"/>
          <w:sz w:val="24"/>
          <w:szCs w:val="24"/>
          <w:lang w:val="en-GB"/>
        </w:rPr>
        <w:t>on the subject</w:t>
      </w:r>
      <w:r w:rsidRPr="00543318">
        <w:rPr>
          <w:rFonts w:ascii="Times New Roman" w:hAnsi="Times New Roman" w:cs="Times New Roman"/>
          <w:sz w:val="24"/>
          <w:szCs w:val="24"/>
          <w:lang w:val="en-GB"/>
        </w:rPr>
        <w:t xml:space="preserve"> contribute to the occurrence of a large number of overdose cases. This long-lasting trend is indicated by </w:t>
      </w:r>
      <w:r>
        <w:rPr>
          <w:rFonts w:ascii="Times New Roman" w:hAnsi="Times New Roman" w:cs="Times New Roman"/>
          <w:sz w:val="24"/>
          <w:szCs w:val="24"/>
          <w:lang w:val="en-GB"/>
        </w:rPr>
        <w:t xml:space="preserve">the </w:t>
      </w:r>
      <w:r w:rsidRPr="00543318">
        <w:rPr>
          <w:rFonts w:ascii="Times New Roman" w:hAnsi="Times New Roman" w:cs="Times New Roman"/>
          <w:sz w:val="24"/>
          <w:szCs w:val="24"/>
          <w:lang w:val="en-GB"/>
        </w:rPr>
        <w:t>researchers from Pomerania and Lesser Poland [14, 15]. This is also indicated by the results obtained in this study. From 2018 to 2022</w:t>
      </w:r>
      <w:r>
        <w:rPr>
          <w:rFonts w:ascii="Times New Roman" w:hAnsi="Times New Roman" w:cs="Times New Roman"/>
          <w:sz w:val="24"/>
          <w:szCs w:val="24"/>
          <w:lang w:val="en-GB"/>
        </w:rPr>
        <w:t>,</w:t>
      </w:r>
      <w:r w:rsidRPr="00543318">
        <w:rPr>
          <w:rFonts w:ascii="Times New Roman" w:hAnsi="Times New Roman" w:cs="Times New Roman"/>
          <w:sz w:val="24"/>
          <w:szCs w:val="24"/>
          <w:lang w:val="en-GB"/>
        </w:rPr>
        <w:t xml:space="preserve"> as many as 125 out of 365 tests </w:t>
      </w:r>
      <w:r>
        <w:rPr>
          <w:rFonts w:ascii="Times New Roman" w:hAnsi="Times New Roman" w:cs="Times New Roman"/>
          <w:sz w:val="24"/>
          <w:szCs w:val="24"/>
          <w:lang w:val="en-GB"/>
        </w:rPr>
        <w:t>entered</w:t>
      </w:r>
      <w:r w:rsidRPr="00543318">
        <w:rPr>
          <w:rFonts w:ascii="Times New Roman" w:hAnsi="Times New Roman" w:cs="Times New Roman"/>
          <w:sz w:val="24"/>
          <w:szCs w:val="24"/>
          <w:lang w:val="en-GB"/>
        </w:rPr>
        <w:t xml:space="preserve"> within the range of concentration values that were considered toxic (20-100 µg/ml). However, 113 tests </w:t>
      </w:r>
      <w:r>
        <w:rPr>
          <w:rFonts w:ascii="Times New Roman" w:hAnsi="Times New Roman" w:cs="Times New Roman"/>
          <w:sz w:val="24"/>
          <w:szCs w:val="24"/>
          <w:lang w:val="en-GB"/>
        </w:rPr>
        <w:t>fell</w:t>
      </w:r>
      <w:r w:rsidRPr="00543318">
        <w:rPr>
          <w:rFonts w:ascii="Times New Roman" w:hAnsi="Times New Roman" w:cs="Times New Roman"/>
          <w:sz w:val="24"/>
          <w:szCs w:val="24"/>
          <w:lang w:val="en-GB"/>
        </w:rPr>
        <w:t xml:space="preserve"> below the lowest value of the method’s measurement range, therefore</w:t>
      </w:r>
      <w:r>
        <w:rPr>
          <w:rFonts w:ascii="Times New Roman" w:hAnsi="Times New Roman" w:cs="Times New Roman"/>
          <w:sz w:val="24"/>
          <w:szCs w:val="24"/>
          <w:lang w:val="en-GB"/>
        </w:rPr>
        <w:t>,</w:t>
      </w:r>
      <w:r w:rsidRPr="00543318">
        <w:rPr>
          <w:rFonts w:ascii="Times New Roman" w:hAnsi="Times New Roman" w:cs="Times New Roman"/>
          <w:sz w:val="24"/>
          <w:szCs w:val="24"/>
          <w:lang w:val="en-GB"/>
        </w:rPr>
        <w:t xml:space="preserve"> below the reference values. It is worth emphasizing that women were most often suspected of paracetamol poisoning – they accounted for 70% of all patients tested for paracetamol </w:t>
      </w:r>
      <w:r>
        <w:rPr>
          <w:rFonts w:ascii="Times New Roman" w:hAnsi="Times New Roman" w:cs="Times New Roman"/>
          <w:sz w:val="24"/>
          <w:szCs w:val="24"/>
          <w:lang w:val="en-GB"/>
        </w:rPr>
        <w:t>concentration</w:t>
      </w:r>
      <w:r w:rsidRPr="00543318">
        <w:rPr>
          <w:rFonts w:ascii="Times New Roman" w:hAnsi="Times New Roman" w:cs="Times New Roman"/>
          <w:sz w:val="24"/>
          <w:szCs w:val="24"/>
          <w:lang w:val="en-GB"/>
        </w:rPr>
        <w:t xml:space="preserve">. Similar results were obtained in </w:t>
      </w:r>
      <w:r>
        <w:rPr>
          <w:rFonts w:ascii="Times New Roman" w:hAnsi="Times New Roman" w:cs="Times New Roman"/>
          <w:sz w:val="24"/>
          <w:szCs w:val="24"/>
          <w:lang w:val="en-GB"/>
        </w:rPr>
        <w:t xml:space="preserve">the </w:t>
      </w:r>
      <w:r w:rsidRPr="00543318">
        <w:rPr>
          <w:rFonts w:ascii="Times New Roman" w:hAnsi="Times New Roman" w:cs="Times New Roman"/>
          <w:sz w:val="24"/>
          <w:szCs w:val="24"/>
          <w:lang w:val="en-GB"/>
        </w:rPr>
        <w:t xml:space="preserve">hospitalized patients from Pomeranian Toxicology Center [14], </w:t>
      </w:r>
      <w:r>
        <w:rPr>
          <w:rFonts w:ascii="Times New Roman" w:hAnsi="Times New Roman" w:cs="Times New Roman"/>
          <w:sz w:val="24"/>
          <w:szCs w:val="24"/>
          <w:lang w:val="en-GB"/>
        </w:rPr>
        <w:t>in which case</w:t>
      </w:r>
      <w:r w:rsidRPr="00543318">
        <w:rPr>
          <w:rFonts w:ascii="Times New Roman" w:hAnsi="Times New Roman" w:cs="Times New Roman"/>
          <w:sz w:val="24"/>
          <w:szCs w:val="24"/>
          <w:lang w:val="en-GB"/>
        </w:rPr>
        <w:t xml:space="preserve"> the percentage of poisoning</w:t>
      </w:r>
      <w:r>
        <w:rPr>
          <w:rFonts w:ascii="Times New Roman" w:hAnsi="Times New Roman" w:cs="Times New Roman"/>
          <w:sz w:val="24"/>
          <w:szCs w:val="24"/>
          <w:lang w:val="en-GB"/>
        </w:rPr>
        <w:t>s</w:t>
      </w:r>
      <w:r w:rsidRPr="00543318">
        <w:rPr>
          <w:rFonts w:ascii="Times New Roman" w:hAnsi="Times New Roman" w:cs="Times New Roman"/>
          <w:sz w:val="24"/>
          <w:szCs w:val="24"/>
          <w:lang w:val="en-GB"/>
        </w:rPr>
        <w:t xml:space="preserve"> was also higher in women. The obtained results regarding the gender of patients are also reflected in the analyses of researchers from other countries [16, 17, 18]. However, considering the results in terms of the </w:t>
      </w:r>
      <w:r>
        <w:rPr>
          <w:rFonts w:ascii="Times New Roman" w:hAnsi="Times New Roman" w:cs="Times New Roman"/>
          <w:sz w:val="24"/>
          <w:szCs w:val="24"/>
          <w:lang w:val="en-GB"/>
        </w:rPr>
        <w:t xml:space="preserve">patients’ </w:t>
      </w:r>
      <w:r w:rsidRPr="00543318">
        <w:rPr>
          <w:rFonts w:ascii="Times New Roman" w:hAnsi="Times New Roman" w:cs="Times New Roman"/>
          <w:sz w:val="24"/>
          <w:szCs w:val="24"/>
          <w:lang w:val="en-GB"/>
        </w:rPr>
        <w:t>age, it should be noted that the vast majority of them were between 15 and 30</w:t>
      </w:r>
      <w:r>
        <w:rPr>
          <w:rFonts w:ascii="Times New Roman" w:hAnsi="Times New Roman" w:cs="Times New Roman"/>
          <w:sz w:val="24"/>
          <w:szCs w:val="24"/>
          <w:lang w:val="en-GB"/>
        </w:rPr>
        <w:t xml:space="preserve"> years old</w:t>
      </w:r>
      <w:r w:rsidRPr="00543318">
        <w:rPr>
          <w:rFonts w:ascii="Times New Roman" w:hAnsi="Times New Roman" w:cs="Times New Roman"/>
          <w:sz w:val="24"/>
          <w:szCs w:val="24"/>
          <w:lang w:val="en-GB"/>
        </w:rPr>
        <w:t>. The second largest age group were children up to 14 years of age. This confirms the trend of paracetamol usage by children and adolescents, observed over recent years not only in Poland</w:t>
      </w:r>
      <w:r>
        <w:rPr>
          <w:rFonts w:ascii="Times New Roman" w:hAnsi="Times New Roman" w:cs="Times New Roman"/>
          <w:sz w:val="24"/>
          <w:szCs w:val="24"/>
          <w:lang w:val="en-GB"/>
        </w:rPr>
        <w:t xml:space="preserve">, </w:t>
      </w:r>
      <w:r w:rsidRPr="00543318">
        <w:rPr>
          <w:rFonts w:ascii="Times New Roman" w:hAnsi="Times New Roman" w:cs="Times New Roman"/>
          <w:sz w:val="24"/>
          <w:szCs w:val="24"/>
          <w:lang w:val="en-GB"/>
        </w:rPr>
        <w:t xml:space="preserve">but also worldwide [18, 19]. In both groups, the number of tests </w:t>
      </w:r>
      <w:r>
        <w:rPr>
          <w:rFonts w:ascii="Times New Roman" w:hAnsi="Times New Roman" w:cs="Times New Roman"/>
          <w:sz w:val="24"/>
          <w:szCs w:val="24"/>
          <w:lang w:val="en-GB"/>
        </w:rPr>
        <w:t>carried out</w:t>
      </w:r>
      <w:r w:rsidRPr="00543318">
        <w:rPr>
          <w:rFonts w:ascii="Times New Roman" w:hAnsi="Times New Roman" w:cs="Times New Roman"/>
          <w:sz w:val="24"/>
          <w:szCs w:val="24"/>
          <w:lang w:val="en-GB"/>
        </w:rPr>
        <w:t xml:space="preserve"> for paracetamol </w:t>
      </w:r>
      <w:r>
        <w:rPr>
          <w:rFonts w:ascii="Times New Roman" w:hAnsi="Times New Roman" w:cs="Times New Roman"/>
          <w:sz w:val="24"/>
          <w:szCs w:val="24"/>
          <w:lang w:val="en-GB"/>
        </w:rPr>
        <w:t>concentration</w:t>
      </w:r>
      <w:r w:rsidRPr="00543318">
        <w:rPr>
          <w:rFonts w:ascii="Times New Roman" w:hAnsi="Times New Roman" w:cs="Times New Roman"/>
          <w:sz w:val="24"/>
          <w:szCs w:val="24"/>
          <w:lang w:val="en-GB"/>
        </w:rPr>
        <w:t xml:space="preserve"> has increased significantly over the last </w:t>
      </w:r>
      <w:r w:rsidR="00174546">
        <w:rPr>
          <w:rFonts w:ascii="Times New Roman" w:hAnsi="Times New Roman" w:cs="Times New Roman"/>
          <w:sz w:val="24"/>
          <w:szCs w:val="24"/>
          <w:lang w:val="en-GB"/>
        </w:rPr>
        <w:t>two</w:t>
      </w:r>
      <w:r w:rsidRPr="00543318">
        <w:rPr>
          <w:rFonts w:ascii="Times New Roman" w:hAnsi="Times New Roman" w:cs="Times New Roman"/>
          <w:sz w:val="24"/>
          <w:szCs w:val="24"/>
          <w:lang w:val="en-GB"/>
        </w:rPr>
        <w:t xml:space="preserve"> analysed year</w:t>
      </w:r>
      <w:r>
        <w:rPr>
          <w:rFonts w:ascii="Times New Roman" w:hAnsi="Times New Roman" w:cs="Times New Roman"/>
          <w:sz w:val="24"/>
          <w:szCs w:val="24"/>
          <w:lang w:val="en-GB"/>
        </w:rPr>
        <w:t>s</w:t>
      </w:r>
      <w:r w:rsidRPr="00543318">
        <w:rPr>
          <w:rFonts w:ascii="Times New Roman" w:hAnsi="Times New Roman" w:cs="Times New Roman"/>
          <w:sz w:val="24"/>
          <w:szCs w:val="24"/>
          <w:lang w:val="en-GB"/>
        </w:rPr>
        <w:t>.</w:t>
      </w:r>
      <w:r w:rsidR="00887BE1">
        <w:rPr>
          <w:rFonts w:ascii="Times New Roman" w:hAnsi="Times New Roman" w:cs="Times New Roman"/>
          <w:sz w:val="24"/>
          <w:szCs w:val="24"/>
          <w:lang w:val="en-GB"/>
        </w:rPr>
        <w:t xml:space="preserve"> It should be noted that the only decrease on number of evaluation (when compared to previous year) took place in 2020. This situation was presumably due to limited access to medical services during COVID-19 pandemic time.</w:t>
      </w:r>
      <w:r w:rsidRPr="00543318">
        <w:rPr>
          <w:rFonts w:ascii="Times New Roman" w:hAnsi="Times New Roman" w:cs="Times New Roman"/>
          <w:sz w:val="24"/>
          <w:szCs w:val="24"/>
          <w:lang w:val="en-GB"/>
        </w:rPr>
        <w:t xml:space="preserve"> The suspected paracetamol poisoning was most often observed</w:t>
      </w:r>
      <w:r>
        <w:rPr>
          <w:rFonts w:ascii="Times New Roman" w:hAnsi="Times New Roman" w:cs="Times New Roman"/>
          <w:sz w:val="24"/>
          <w:szCs w:val="24"/>
          <w:lang w:val="en-GB"/>
        </w:rPr>
        <w:t xml:space="preserve"> </w:t>
      </w:r>
      <w:r w:rsidRPr="00543318">
        <w:rPr>
          <w:rFonts w:ascii="Times New Roman" w:hAnsi="Times New Roman" w:cs="Times New Roman"/>
          <w:sz w:val="24"/>
          <w:szCs w:val="24"/>
          <w:lang w:val="en-GB"/>
        </w:rPr>
        <w:t xml:space="preserve">in the spring and autumn </w:t>
      </w:r>
      <w:r w:rsidRPr="00543318">
        <w:rPr>
          <w:rFonts w:ascii="Times New Roman" w:hAnsi="Times New Roman" w:cs="Times New Roman"/>
          <w:sz w:val="24"/>
          <w:szCs w:val="24"/>
          <w:lang w:val="en-GB"/>
        </w:rPr>
        <w:lastRenderedPageBreak/>
        <w:t xml:space="preserve">seasons, which is most likely related to the occurrence of various infections in Poland </w:t>
      </w:r>
      <w:r>
        <w:rPr>
          <w:rFonts w:ascii="Times New Roman" w:hAnsi="Times New Roman" w:cs="Times New Roman"/>
          <w:sz w:val="24"/>
          <w:szCs w:val="24"/>
          <w:lang w:val="en-GB"/>
        </w:rPr>
        <w:t>over the course of</w:t>
      </w:r>
      <w:r w:rsidRPr="00543318">
        <w:rPr>
          <w:rFonts w:ascii="Times New Roman" w:hAnsi="Times New Roman" w:cs="Times New Roman"/>
          <w:sz w:val="24"/>
          <w:szCs w:val="24"/>
          <w:lang w:val="en-GB"/>
        </w:rPr>
        <w:t xml:space="preserve"> these months. </w:t>
      </w:r>
    </w:p>
    <w:p w14:paraId="5FD308A5" w14:textId="77777777" w:rsidR="00D109A4" w:rsidRPr="00281E99" w:rsidRDefault="00D109A4" w:rsidP="00D109A4">
      <w:pPr>
        <w:keepNext/>
        <w:spacing w:line="360" w:lineRule="auto"/>
        <w:jc w:val="both"/>
        <w:rPr>
          <w:rFonts w:ascii="Times New Roman" w:hAnsi="Times New Roman" w:cs="Times New Roman"/>
          <w:b/>
          <w:bCs/>
          <w:sz w:val="24"/>
          <w:szCs w:val="24"/>
          <w:lang w:val="en-GB"/>
        </w:rPr>
      </w:pPr>
      <w:r w:rsidRPr="00281E99">
        <w:rPr>
          <w:rFonts w:ascii="Times New Roman" w:hAnsi="Times New Roman" w:cs="Times New Roman"/>
          <w:b/>
          <w:bCs/>
          <w:sz w:val="24"/>
          <w:szCs w:val="24"/>
          <w:lang w:val="en-GB"/>
        </w:rPr>
        <w:t>Conclusions</w:t>
      </w:r>
    </w:p>
    <w:p w14:paraId="3DFF8F56" w14:textId="36FF3EAE" w:rsidR="00D109A4" w:rsidRPr="00543318" w:rsidRDefault="00D109A4" w:rsidP="00D109A4">
      <w:pPr>
        <w:pStyle w:val="Akapitzlist"/>
        <w:keepNext/>
        <w:numPr>
          <w:ilvl w:val="0"/>
          <w:numId w:val="4"/>
        </w:numPr>
        <w:spacing w:line="360" w:lineRule="auto"/>
        <w:jc w:val="both"/>
        <w:rPr>
          <w:rFonts w:ascii="Times New Roman" w:hAnsi="Times New Roman" w:cs="Times New Roman"/>
          <w:sz w:val="24"/>
          <w:szCs w:val="24"/>
          <w:lang w:val="en-GB"/>
        </w:rPr>
      </w:pPr>
      <w:r w:rsidRPr="00543318">
        <w:rPr>
          <w:rFonts w:ascii="Times New Roman" w:hAnsi="Times New Roman" w:cs="Times New Roman"/>
          <w:sz w:val="24"/>
          <w:szCs w:val="24"/>
          <w:lang w:val="en-GB"/>
        </w:rPr>
        <w:t>From 2018 to 2022</w:t>
      </w:r>
      <w:r w:rsidR="00FF498F">
        <w:rPr>
          <w:rFonts w:ascii="Times New Roman" w:hAnsi="Times New Roman" w:cs="Times New Roman"/>
          <w:sz w:val="24"/>
          <w:szCs w:val="24"/>
          <w:lang w:val="en-GB"/>
        </w:rPr>
        <w:t>,</w:t>
      </w:r>
      <w:r w:rsidRPr="00543318">
        <w:rPr>
          <w:rFonts w:ascii="Times New Roman" w:hAnsi="Times New Roman" w:cs="Times New Roman"/>
          <w:sz w:val="24"/>
          <w:szCs w:val="24"/>
          <w:lang w:val="en-GB"/>
        </w:rPr>
        <w:t xml:space="preserve"> there was an increase in the number of paracetamol c</w:t>
      </w:r>
      <w:r w:rsidR="00FF498F">
        <w:rPr>
          <w:rFonts w:ascii="Times New Roman" w:hAnsi="Times New Roman" w:cs="Times New Roman"/>
          <w:sz w:val="24"/>
          <w:szCs w:val="24"/>
          <w:lang w:val="en-GB"/>
        </w:rPr>
        <w:t>oncentration</w:t>
      </w:r>
      <w:r w:rsidRPr="00543318">
        <w:rPr>
          <w:rFonts w:ascii="Times New Roman" w:hAnsi="Times New Roman" w:cs="Times New Roman"/>
          <w:sz w:val="24"/>
          <w:szCs w:val="24"/>
          <w:lang w:val="en-GB"/>
        </w:rPr>
        <w:t xml:space="preserve"> evaluations in patients hospitalized in Kuyavian-Pomeranian Voivodeship.</w:t>
      </w:r>
    </w:p>
    <w:p w14:paraId="102AB794" w14:textId="77777777" w:rsidR="00D109A4" w:rsidRPr="00543318" w:rsidRDefault="00D109A4" w:rsidP="00D109A4">
      <w:pPr>
        <w:pStyle w:val="Akapitzlist"/>
        <w:keepNext/>
        <w:numPr>
          <w:ilvl w:val="0"/>
          <w:numId w:val="4"/>
        </w:numPr>
        <w:spacing w:line="360" w:lineRule="auto"/>
        <w:jc w:val="both"/>
        <w:rPr>
          <w:rFonts w:ascii="Times New Roman" w:hAnsi="Times New Roman" w:cs="Times New Roman"/>
          <w:sz w:val="24"/>
          <w:szCs w:val="24"/>
          <w:lang w:val="en-GB"/>
        </w:rPr>
      </w:pPr>
      <w:r w:rsidRPr="00543318">
        <w:rPr>
          <w:rFonts w:ascii="Times New Roman" w:hAnsi="Times New Roman" w:cs="Times New Roman"/>
          <w:sz w:val="24"/>
          <w:szCs w:val="24"/>
          <w:lang w:val="en-GB"/>
        </w:rPr>
        <w:t>The highest percentage of patients suspected of paracetamol poisoning were women.</w:t>
      </w:r>
    </w:p>
    <w:p w14:paraId="51D15A5E" w14:textId="77777777" w:rsidR="00D109A4" w:rsidRPr="00543318" w:rsidRDefault="00D109A4" w:rsidP="00D109A4">
      <w:pPr>
        <w:pStyle w:val="Akapitzlist"/>
        <w:keepNext/>
        <w:numPr>
          <w:ilvl w:val="0"/>
          <w:numId w:val="4"/>
        </w:numPr>
        <w:spacing w:line="360" w:lineRule="auto"/>
        <w:jc w:val="both"/>
        <w:rPr>
          <w:rFonts w:ascii="Times New Roman" w:hAnsi="Times New Roman" w:cs="Times New Roman"/>
          <w:sz w:val="24"/>
          <w:szCs w:val="24"/>
          <w:lang w:val="en-GB"/>
        </w:rPr>
      </w:pPr>
      <w:r w:rsidRPr="00543318">
        <w:rPr>
          <w:rFonts w:ascii="Times New Roman" w:hAnsi="Times New Roman" w:cs="Times New Roman"/>
          <w:sz w:val="24"/>
          <w:szCs w:val="24"/>
          <w:lang w:val="en-GB"/>
        </w:rPr>
        <w:t>Paracetamol analyses were most often performed on people aged 15-30.</w:t>
      </w:r>
    </w:p>
    <w:p w14:paraId="47F82693" w14:textId="77777777" w:rsidR="00FF498F" w:rsidRPr="00543318" w:rsidRDefault="00FF498F" w:rsidP="00FF498F">
      <w:pPr>
        <w:pStyle w:val="Akapitzlist"/>
        <w:keepNext/>
        <w:numPr>
          <w:ilvl w:val="0"/>
          <w:numId w:val="4"/>
        </w:numPr>
        <w:spacing w:line="360" w:lineRule="auto"/>
        <w:jc w:val="both"/>
        <w:rPr>
          <w:rFonts w:ascii="Times New Roman" w:hAnsi="Times New Roman" w:cs="Times New Roman"/>
          <w:sz w:val="24"/>
          <w:szCs w:val="24"/>
          <w:lang w:val="en-GB"/>
        </w:rPr>
      </w:pPr>
      <w:r w:rsidRPr="00543318">
        <w:rPr>
          <w:rFonts w:ascii="Times New Roman" w:hAnsi="Times New Roman" w:cs="Times New Roman"/>
          <w:sz w:val="24"/>
          <w:szCs w:val="24"/>
          <w:lang w:val="en-GB"/>
        </w:rPr>
        <w:t xml:space="preserve">The obtained paracetamol concentrations </w:t>
      </w:r>
      <w:r>
        <w:rPr>
          <w:rFonts w:ascii="Times New Roman" w:hAnsi="Times New Roman" w:cs="Times New Roman"/>
          <w:sz w:val="24"/>
          <w:szCs w:val="24"/>
          <w:lang w:val="en-GB"/>
        </w:rPr>
        <w:t>were most</w:t>
      </w:r>
      <w:r w:rsidRPr="00543318">
        <w:rPr>
          <w:rFonts w:ascii="Times New Roman" w:hAnsi="Times New Roman" w:cs="Times New Roman"/>
          <w:sz w:val="24"/>
          <w:szCs w:val="24"/>
          <w:lang w:val="en-GB"/>
        </w:rPr>
        <w:t xml:space="preserve"> often within toxic levels. </w:t>
      </w:r>
    </w:p>
    <w:p w14:paraId="3FA2A579" w14:textId="77777777" w:rsidR="002C52EC" w:rsidRPr="00D601AB" w:rsidRDefault="002C52EC" w:rsidP="00D601AB">
      <w:pPr>
        <w:spacing w:line="360" w:lineRule="auto"/>
        <w:rPr>
          <w:rFonts w:ascii="Times New Roman" w:hAnsi="Times New Roman" w:cs="Times New Roman"/>
          <w:sz w:val="24"/>
          <w:szCs w:val="24"/>
        </w:rPr>
      </w:pPr>
    </w:p>
    <w:p w14:paraId="5075976F" w14:textId="7633C881" w:rsidR="00574C8C" w:rsidRPr="00D601AB" w:rsidRDefault="00574C8C" w:rsidP="00D601AB">
      <w:pPr>
        <w:spacing w:line="360" w:lineRule="auto"/>
        <w:rPr>
          <w:rFonts w:ascii="Times New Roman" w:hAnsi="Times New Roman" w:cs="Times New Roman"/>
          <w:color w:val="ED7D31" w:themeColor="accent2"/>
          <w:sz w:val="24"/>
          <w:szCs w:val="24"/>
        </w:rPr>
      </w:pPr>
    </w:p>
    <w:p w14:paraId="48650785" w14:textId="4B4E9EE3" w:rsidR="005B6623" w:rsidRPr="00BD27C5" w:rsidRDefault="00FF498F" w:rsidP="00BF0024">
      <w:pPr>
        <w:spacing w:line="36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B</w:t>
      </w:r>
      <w:r w:rsidRPr="00D17608">
        <w:rPr>
          <w:rFonts w:ascii="Times New Roman" w:hAnsi="Times New Roman" w:cs="Times New Roman"/>
          <w:b/>
          <w:bCs/>
          <w:color w:val="222222"/>
          <w:sz w:val="24"/>
          <w:szCs w:val="24"/>
          <w:shd w:val="clear" w:color="auto" w:fill="FFFFFF"/>
        </w:rPr>
        <w:t>ibliography</w:t>
      </w:r>
      <w:r w:rsidR="007C5914" w:rsidRPr="00BD27C5">
        <w:rPr>
          <w:rFonts w:ascii="Times New Roman" w:hAnsi="Times New Roman" w:cs="Times New Roman"/>
          <w:b/>
          <w:bCs/>
          <w:color w:val="222222"/>
          <w:sz w:val="24"/>
          <w:szCs w:val="24"/>
          <w:shd w:val="clear" w:color="auto" w:fill="FFFFFF"/>
        </w:rPr>
        <w:t>:</w:t>
      </w:r>
    </w:p>
    <w:p w14:paraId="141DE08E" w14:textId="70151F53" w:rsidR="00046418" w:rsidRPr="00BF0024" w:rsidRDefault="00046418"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Jóźwiak-Bebenista, M</w:t>
      </w:r>
      <w:r w:rsidR="001B478E">
        <w:rPr>
          <w:rFonts w:ascii="Times New Roman" w:hAnsi="Times New Roman" w:cs="Times New Roman"/>
          <w:color w:val="222222"/>
          <w:sz w:val="24"/>
          <w:szCs w:val="24"/>
          <w:shd w:val="clear" w:color="auto" w:fill="FFFFFF"/>
        </w:rPr>
        <w:t>.</w:t>
      </w:r>
      <w:r w:rsidRPr="00BF0024">
        <w:rPr>
          <w:rFonts w:ascii="Times New Roman" w:hAnsi="Times New Roman" w:cs="Times New Roman"/>
          <w:color w:val="222222"/>
          <w:sz w:val="24"/>
          <w:szCs w:val="24"/>
          <w:shd w:val="clear" w:color="auto" w:fill="FFFFFF"/>
        </w:rPr>
        <w:t>, Nowak</w:t>
      </w:r>
      <w:r w:rsidR="001B478E">
        <w:rPr>
          <w:rFonts w:ascii="Times New Roman" w:hAnsi="Times New Roman" w:cs="Times New Roman"/>
          <w:color w:val="222222"/>
          <w:sz w:val="24"/>
          <w:szCs w:val="24"/>
          <w:shd w:val="clear" w:color="auto" w:fill="FFFFFF"/>
        </w:rPr>
        <w:t xml:space="preserve"> J.Z</w:t>
      </w:r>
      <w:r w:rsidRPr="00BF0024">
        <w:rPr>
          <w:rFonts w:ascii="Times New Roman" w:hAnsi="Times New Roman" w:cs="Times New Roman"/>
          <w:color w:val="222222"/>
          <w:sz w:val="24"/>
          <w:szCs w:val="24"/>
          <w:shd w:val="clear" w:color="auto" w:fill="FFFFFF"/>
        </w:rPr>
        <w:t>. "Paracetamol: mechanism of action, applications and safety concern." </w:t>
      </w:r>
      <w:r w:rsidRPr="00BF0024">
        <w:rPr>
          <w:rFonts w:ascii="Times New Roman" w:hAnsi="Times New Roman" w:cs="Times New Roman"/>
          <w:i/>
          <w:iCs/>
          <w:color w:val="222222"/>
          <w:sz w:val="24"/>
          <w:szCs w:val="24"/>
          <w:shd w:val="clear" w:color="auto" w:fill="FFFFFF"/>
        </w:rPr>
        <w:t>Acta poloniae pharmaceutica</w:t>
      </w:r>
      <w:r w:rsidRPr="00BF0024">
        <w:rPr>
          <w:rFonts w:ascii="Times New Roman" w:hAnsi="Times New Roman" w:cs="Times New Roman"/>
          <w:color w:val="222222"/>
          <w:sz w:val="24"/>
          <w:szCs w:val="24"/>
          <w:shd w:val="clear" w:color="auto" w:fill="FFFFFF"/>
        </w:rPr>
        <w:t> 71.1 (2014): 11-23.</w:t>
      </w:r>
    </w:p>
    <w:p w14:paraId="6C58C7FD" w14:textId="64481102" w:rsidR="00046418" w:rsidRPr="00BF0024" w:rsidRDefault="00046418"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Freo, Ulderico, et al. "Paracetamol: A review of guideline recommendations." </w:t>
      </w:r>
      <w:r w:rsidRPr="00BF0024">
        <w:rPr>
          <w:rFonts w:ascii="Times New Roman" w:hAnsi="Times New Roman" w:cs="Times New Roman"/>
          <w:i/>
          <w:iCs/>
          <w:color w:val="222222"/>
          <w:sz w:val="24"/>
          <w:szCs w:val="24"/>
          <w:shd w:val="clear" w:color="auto" w:fill="FFFFFF"/>
        </w:rPr>
        <w:t>Journal of clinical medicine</w:t>
      </w:r>
      <w:r w:rsidRPr="00BF0024">
        <w:rPr>
          <w:rFonts w:ascii="Times New Roman" w:hAnsi="Times New Roman" w:cs="Times New Roman"/>
          <w:color w:val="222222"/>
          <w:sz w:val="24"/>
          <w:szCs w:val="24"/>
          <w:shd w:val="clear" w:color="auto" w:fill="FFFFFF"/>
        </w:rPr>
        <w:t> 10.15 (2021): 3420.</w:t>
      </w:r>
    </w:p>
    <w:p w14:paraId="74107FC8" w14:textId="288F9C1F" w:rsidR="00046418" w:rsidRPr="00BF0024" w:rsidRDefault="00046418"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Anderson, Brian J. "Paracetamol (Acetaminophen): mechanisms of action." </w:t>
      </w:r>
      <w:r w:rsidRPr="00BF0024">
        <w:rPr>
          <w:rFonts w:ascii="Times New Roman" w:hAnsi="Times New Roman" w:cs="Times New Roman"/>
          <w:i/>
          <w:iCs/>
          <w:color w:val="222222"/>
          <w:sz w:val="24"/>
          <w:szCs w:val="24"/>
          <w:shd w:val="clear" w:color="auto" w:fill="FFFFFF"/>
        </w:rPr>
        <w:t>Pediatric Anesthesia</w:t>
      </w:r>
      <w:r w:rsidRPr="00BF0024">
        <w:rPr>
          <w:rFonts w:ascii="Times New Roman" w:hAnsi="Times New Roman" w:cs="Times New Roman"/>
          <w:color w:val="222222"/>
          <w:sz w:val="24"/>
          <w:szCs w:val="24"/>
          <w:shd w:val="clear" w:color="auto" w:fill="FFFFFF"/>
        </w:rPr>
        <w:t> 18.10 (2008): 915-921.</w:t>
      </w:r>
    </w:p>
    <w:p w14:paraId="1298BB57" w14:textId="620A5711" w:rsidR="00046418" w:rsidRPr="00BF0024" w:rsidRDefault="00046418"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Graham, Garry G., Kieran F. Scott. "Mechanism of action of paracetamol." </w:t>
      </w:r>
      <w:r w:rsidRPr="00BF0024">
        <w:rPr>
          <w:rFonts w:ascii="Times New Roman" w:hAnsi="Times New Roman" w:cs="Times New Roman"/>
          <w:i/>
          <w:iCs/>
          <w:color w:val="222222"/>
          <w:sz w:val="24"/>
          <w:szCs w:val="24"/>
          <w:shd w:val="clear" w:color="auto" w:fill="FFFFFF"/>
        </w:rPr>
        <w:t>American journal of therapeutics</w:t>
      </w:r>
      <w:r w:rsidRPr="00BF0024">
        <w:rPr>
          <w:rFonts w:ascii="Times New Roman" w:hAnsi="Times New Roman" w:cs="Times New Roman"/>
          <w:color w:val="222222"/>
          <w:sz w:val="24"/>
          <w:szCs w:val="24"/>
          <w:shd w:val="clear" w:color="auto" w:fill="FFFFFF"/>
        </w:rPr>
        <w:t> 12.1 (2005): 46-55.</w:t>
      </w:r>
    </w:p>
    <w:p w14:paraId="57BC9615" w14:textId="25DE8607" w:rsidR="00046418" w:rsidRPr="00BF0024" w:rsidRDefault="00046418"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Zhao, Lizi, Gisèle Pickering. "Paracetamol metabolism and related genetic differences." </w:t>
      </w:r>
      <w:r w:rsidRPr="00BF0024">
        <w:rPr>
          <w:rFonts w:ascii="Times New Roman" w:hAnsi="Times New Roman" w:cs="Times New Roman"/>
          <w:i/>
          <w:iCs/>
          <w:color w:val="222222"/>
          <w:sz w:val="24"/>
          <w:szCs w:val="24"/>
          <w:shd w:val="clear" w:color="auto" w:fill="FFFFFF"/>
        </w:rPr>
        <w:t>Drug metabolism reviews</w:t>
      </w:r>
      <w:r w:rsidRPr="00BF0024">
        <w:rPr>
          <w:rFonts w:ascii="Times New Roman" w:hAnsi="Times New Roman" w:cs="Times New Roman"/>
          <w:color w:val="222222"/>
          <w:sz w:val="24"/>
          <w:szCs w:val="24"/>
          <w:shd w:val="clear" w:color="auto" w:fill="FFFFFF"/>
        </w:rPr>
        <w:t> 43.1 (2011): 41-52.</w:t>
      </w:r>
    </w:p>
    <w:p w14:paraId="6B8A1457" w14:textId="60888282" w:rsidR="00046418"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Bateman, D. Nicholas, James W. Dear. "Acetylcysteine in paracetamol poisoning: a perspective of 45 years of use." </w:t>
      </w:r>
      <w:r w:rsidRPr="00BF0024">
        <w:rPr>
          <w:rFonts w:ascii="Times New Roman" w:hAnsi="Times New Roman" w:cs="Times New Roman"/>
          <w:i/>
          <w:iCs/>
          <w:color w:val="222222"/>
          <w:sz w:val="24"/>
          <w:szCs w:val="24"/>
          <w:shd w:val="clear" w:color="auto" w:fill="FFFFFF"/>
        </w:rPr>
        <w:t>Toxicology research</w:t>
      </w:r>
      <w:r w:rsidRPr="00BF0024">
        <w:rPr>
          <w:rFonts w:ascii="Times New Roman" w:hAnsi="Times New Roman" w:cs="Times New Roman"/>
          <w:color w:val="222222"/>
          <w:sz w:val="24"/>
          <w:szCs w:val="24"/>
          <w:shd w:val="clear" w:color="auto" w:fill="FFFFFF"/>
        </w:rPr>
        <w:t> 8.4 (2019): 489-498.</w:t>
      </w:r>
    </w:p>
    <w:p w14:paraId="09AC2FA5" w14:textId="13F0DEAD"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Mullins, Michael E., Lauren H. Yeager, William E. Freeman. "Metabolic and mitochondrial treatments for severe paracetamol poisoning: a systematic review." </w:t>
      </w:r>
      <w:r w:rsidRPr="00BF0024">
        <w:rPr>
          <w:rFonts w:ascii="Times New Roman" w:hAnsi="Times New Roman" w:cs="Times New Roman"/>
          <w:i/>
          <w:iCs/>
          <w:color w:val="222222"/>
          <w:sz w:val="24"/>
          <w:szCs w:val="24"/>
          <w:shd w:val="clear" w:color="auto" w:fill="FFFFFF"/>
        </w:rPr>
        <w:t>Clinical Toxicology</w:t>
      </w:r>
      <w:r w:rsidRPr="00BF0024">
        <w:rPr>
          <w:rFonts w:ascii="Times New Roman" w:hAnsi="Times New Roman" w:cs="Times New Roman"/>
          <w:color w:val="222222"/>
          <w:sz w:val="24"/>
          <w:szCs w:val="24"/>
          <w:shd w:val="clear" w:color="auto" w:fill="FFFFFF"/>
        </w:rPr>
        <w:t> 58.12 (2020): 1284-1296.</w:t>
      </w:r>
    </w:p>
    <w:p w14:paraId="0A693842" w14:textId="2BB8DF77"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Thummel, Kenneth E., et al. "Ethanol and production of the hepatotoxic metabolite of acetaminophen in healthy adults." </w:t>
      </w:r>
      <w:r w:rsidRPr="00BF0024">
        <w:rPr>
          <w:rFonts w:ascii="Times New Roman" w:hAnsi="Times New Roman" w:cs="Times New Roman"/>
          <w:i/>
          <w:iCs/>
          <w:color w:val="222222"/>
          <w:sz w:val="24"/>
          <w:szCs w:val="24"/>
          <w:shd w:val="clear" w:color="auto" w:fill="FFFFFF"/>
        </w:rPr>
        <w:t>Clinical Pharmacology &amp; Therapeutics</w:t>
      </w:r>
      <w:r w:rsidRPr="00BF0024">
        <w:rPr>
          <w:rFonts w:ascii="Times New Roman" w:hAnsi="Times New Roman" w:cs="Times New Roman"/>
          <w:color w:val="222222"/>
          <w:sz w:val="24"/>
          <w:szCs w:val="24"/>
          <w:shd w:val="clear" w:color="auto" w:fill="FFFFFF"/>
        </w:rPr>
        <w:t> 67.6 (2000): 591-599.</w:t>
      </w:r>
    </w:p>
    <w:p w14:paraId="5A637817" w14:textId="2EF1017D"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lastRenderedPageBreak/>
        <w:t>Mahoney, J. Dugan, et al. "Quantitative serum toxic screening in the management of suspected drug overdose." </w:t>
      </w:r>
      <w:r w:rsidRPr="00BF0024">
        <w:rPr>
          <w:rFonts w:ascii="Times New Roman" w:hAnsi="Times New Roman" w:cs="Times New Roman"/>
          <w:i/>
          <w:iCs/>
          <w:color w:val="222222"/>
          <w:sz w:val="24"/>
          <w:szCs w:val="24"/>
          <w:shd w:val="clear" w:color="auto" w:fill="FFFFFF"/>
        </w:rPr>
        <w:t>The American journal of emergency medicine</w:t>
      </w:r>
      <w:r w:rsidRPr="00BF0024">
        <w:rPr>
          <w:rFonts w:ascii="Times New Roman" w:hAnsi="Times New Roman" w:cs="Times New Roman"/>
          <w:color w:val="222222"/>
          <w:sz w:val="24"/>
          <w:szCs w:val="24"/>
          <w:shd w:val="clear" w:color="auto" w:fill="FFFFFF"/>
        </w:rPr>
        <w:t> 8.1 (1990): 16-22.</w:t>
      </w:r>
    </w:p>
    <w:p w14:paraId="7A4D933A" w14:textId="73280FA5"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Mutsaers, Adam, et al. "Changing nomogram risk zone classification with serial testing after acute acetaminophen overdose: a retrospective database analysis." </w:t>
      </w:r>
      <w:r w:rsidRPr="00BF0024">
        <w:rPr>
          <w:rFonts w:ascii="Times New Roman" w:hAnsi="Times New Roman" w:cs="Times New Roman"/>
          <w:i/>
          <w:iCs/>
          <w:color w:val="222222"/>
          <w:sz w:val="24"/>
          <w:szCs w:val="24"/>
          <w:shd w:val="clear" w:color="auto" w:fill="FFFFFF"/>
        </w:rPr>
        <w:t>Clinical Toxicology</w:t>
      </w:r>
      <w:r w:rsidRPr="00BF0024">
        <w:rPr>
          <w:rFonts w:ascii="Times New Roman" w:hAnsi="Times New Roman" w:cs="Times New Roman"/>
          <w:color w:val="222222"/>
          <w:sz w:val="24"/>
          <w:szCs w:val="24"/>
          <w:shd w:val="clear" w:color="auto" w:fill="FFFFFF"/>
        </w:rPr>
        <w:t> 57.6 (2019): 380-386.</w:t>
      </w:r>
    </w:p>
    <w:p w14:paraId="22AB1B11" w14:textId="381C0C32"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Saccomano, Scott J. "Acute acetaminophen toxicity in adults." </w:t>
      </w:r>
      <w:r w:rsidRPr="00BF0024">
        <w:rPr>
          <w:rFonts w:ascii="Times New Roman" w:hAnsi="Times New Roman" w:cs="Times New Roman"/>
          <w:i/>
          <w:iCs/>
          <w:color w:val="222222"/>
          <w:sz w:val="24"/>
          <w:szCs w:val="24"/>
          <w:shd w:val="clear" w:color="auto" w:fill="FFFFFF"/>
        </w:rPr>
        <w:t>Nursing2020 Critical Care</w:t>
      </w:r>
      <w:r w:rsidRPr="00BF0024">
        <w:rPr>
          <w:rFonts w:ascii="Times New Roman" w:hAnsi="Times New Roman" w:cs="Times New Roman"/>
          <w:color w:val="222222"/>
          <w:sz w:val="24"/>
          <w:szCs w:val="24"/>
          <w:shd w:val="clear" w:color="auto" w:fill="FFFFFF"/>
        </w:rPr>
        <w:t> 14.5 (2019): 10-17.</w:t>
      </w:r>
    </w:p>
    <w:p w14:paraId="59E43276" w14:textId="7DAB815F"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Prescott, Laurie F. "Paracetamol, alcohol and the liver." </w:t>
      </w:r>
      <w:r w:rsidRPr="00BF0024">
        <w:rPr>
          <w:rFonts w:ascii="Times New Roman" w:hAnsi="Times New Roman" w:cs="Times New Roman"/>
          <w:i/>
          <w:iCs/>
          <w:color w:val="222222"/>
          <w:sz w:val="24"/>
          <w:szCs w:val="24"/>
          <w:shd w:val="clear" w:color="auto" w:fill="FFFFFF"/>
        </w:rPr>
        <w:t>British journal of clinical pharmacology</w:t>
      </w:r>
      <w:r w:rsidRPr="00BF0024">
        <w:rPr>
          <w:rFonts w:ascii="Times New Roman" w:hAnsi="Times New Roman" w:cs="Times New Roman"/>
          <w:color w:val="222222"/>
          <w:sz w:val="24"/>
          <w:szCs w:val="24"/>
          <w:shd w:val="clear" w:color="auto" w:fill="FFFFFF"/>
        </w:rPr>
        <w:t> 49.4 (2000): 291-301.</w:t>
      </w:r>
    </w:p>
    <w:p w14:paraId="4FA844F7" w14:textId="5F329819"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Kujawska, M., Murias M. "Paracetamol–etanol–złożona interakcja." </w:t>
      </w:r>
      <w:r w:rsidRPr="00BF0024">
        <w:rPr>
          <w:rFonts w:ascii="Times New Roman" w:hAnsi="Times New Roman" w:cs="Times New Roman"/>
          <w:i/>
          <w:iCs/>
          <w:color w:val="222222"/>
          <w:sz w:val="24"/>
          <w:szCs w:val="24"/>
          <w:shd w:val="clear" w:color="auto" w:fill="FFFFFF"/>
        </w:rPr>
        <w:t>Adv Clin Exp Med</w:t>
      </w:r>
      <w:r w:rsidRPr="00BF0024">
        <w:rPr>
          <w:rFonts w:ascii="Times New Roman" w:hAnsi="Times New Roman" w:cs="Times New Roman"/>
          <w:color w:val="222222"/>
          <w:sz w:val="24"/>
          <w:szCs w:val="24"/>
          <w:shd w:val="clear" w:color="auto" w:fill="FFFFFF"/>
        </w:rPr>
        <w:t> 13.3 (2004): 497-501.</w:t>
      </w:r>
    </w:p>
    <w:p w14:paraId="40681039" w14:textId="77777777"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Garczewski, Bartłomiej, et al. "Zatrucia paracetamolem leczone w Pomorskim Centrum Toksykologii w latach 2010–2015." </w:t>
      </w:r>
      <w:r w:rsidRPr="00BF0024">
        <w:rPr>
          <w:rFonts w:ascii="Times New Roman" w:hAnsi="Times New Roman" w:cs="Times New Roman"/>
          <w:i/>
          <w:iCs/>
          <w:color w:val="222222"/>
          <w:sz w:val="24"/>
          <w:szCs w:val="24"/>
          <w:shd w:val="clear" w:color="auto" w:fill="FFFFFF"/>
        </w:rPr>
        <w:t>Medycyna Pracy</w:t>
      </w:r>
      <w:r w:rsidRPr="00BF0024">
        <w:rPr>
          <w:rFonts w:ascii="Times New Roman" w:hAnsi="Times New Roman" w:cs="Times New Roman"/>
          <w:color w:val="222222"/>
          <w:sz w:val="24"/>
          <w:szCs w:val="24"/>
          <w:shd w:val="clear" w:color="auto" w:fill="FFFFFF"/>
        </w:rPr>
        <w:t> 70.6 (2019): 733-738.</w:t>
      </w:r>
    </w:p>
    <w:p w14:paraId="61F460AD" w14:textId="156F04EA"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Gomółka, Ewa, Piotr Hydzik, Beata Szkolnicka. "Zatrucia paracetamolem, salicylanami i dekstrometorfanem: ocena problemu na podstawie danych Pracowni Toksykologii oraz Ośrodka Informacji Toksykologicznej w Krakowie z lat 2010-2015." </w:t>
      </w:r>
      <w:r w:rsidRPr="00BF0024">
        <w:rPr>
          <w:rFonts w:ascii="Times New Roman" w:hAnsi="Times New Roman" w:cs="Times New Roman"/>
          <w:i/>
          <w:iCs/>
          <w:color w:val="222222"/>
          <w:sz w:val="24"/>
          <w:szCs w:val="24"/>
          <w:shd w:val="clear" w:color="auto" w:fill="FFFFFF"/>
        </w:rPr>
        <w:t>Przegląd Lekarski</w:t>
      </w:r>
      <w:r w:rsidRPr="00BF0024">
        <w:rPr>
          <w:rFonts w:ascii="Times New Roman" w:hAnsi="Times New Roman" w:cs="Times New Roman"/>
          <w:color w:val="222222"/>
          <w:sz w:val="24"/>
          <w:szCs w:val="24"/>
          <w:shd w:val="clear" w:color="auto" w:fill="FFFFFF"/>
        </w:rPr>
        <w:t> 73.12 (2016).</w:t>
      </w:r>
    </w:p>
    <w:p w14:paraId="45DA3421" w14:textId="5F837910"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Friðriksdóttir, Þorbjörg Andrea, et al. "Paracetamol poisoning: a population-based study from Iceland." </w:t>
      </w:r>
      <w:r w:rsidRPr="00BF0024">
        <w:rPr>
          <w:rFonts w:ascii="Times New Roman" w:hAnsi="Times New Roman" w:cs="Times New Roman"/>
          <w:i/>
          <w:iCs/>
          <w:color w:val="222222"/>
          <w:sz w:val="24"/>
          <w:szCs w:val="24"/>
          <w:shd w:val="clear" w:color="auto" w:fill="FFFFFF"/>
        </w:rPr>
        <w:t>Scandinavian journal of gastroenterology</w:t>
      </w:r>
      <w:r w:rsidRPr="00BF0024">
        <w:rPr>
          <w:rFonts w:ascii="Times New Roman" w:hAnsi="Times New Roman" w:cs="Times New Roman"/>
          <w:color w:val="222222"/>
          <w:sz w:val="24"/>
          <w:szCs w:val="24"/>
          <w:shd w:val="clear" w:color="auto" w:fill="FFFFFF"/>
        </w:rPr>
        <w:t> 56.7 (2021): 832-839.</w:t>
      </w:r>
    </w:p>
    <w:p w14:paraId="091CF665" w14:textId="211D669E"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Chidiac, Annabelle S., et al. "Paracetamol (acetaminophen) overdose and hepatotoxicity: mechanism, treatment, prevention measures, and estimates of burden of disease." </w:t>
      </w:r>
      <w:r w:rsidRPr="00BF0024">
        <w:rPr>
          <w:rFonts w:ascii="Times New Roman" w:hAnsi="Times New Roman" w:cs="Times New Roman"/>
          <w:i/>
          <w:iCs/>
          <w:color w:val="222222"/>
          <w:sz w:val="24"/>
          <w:szCs w:val="24"/>
          <w:shd w:val="clear" w:color="auto" w:fill="FFFFFF"/>
        </w:rPr>
        <w:t>Expert Opinion on Drug Metabolism &amp; Toxicology</w:t>
      </w:r>
      <w:r w:rsidRPr="00BF0024">
        <w:rPr>
          <w:rFonts w:ascii="Times New Roman" w:hAnsi="Times New Roman" w:cs="Times New Roman"/>
          <w:color w:val="222222"/>
          <w:sz w:val="24"/>
          <w:szCs w:val="24"/>
          <w:shd w:val="clear" w:color="auto" w:fill="FFFFFF"/>
        </w:rPr>
        <w:t> 19.5 (2023): 297-317.</w:t>
      </w:r>
    </w:p>
    <w:p w14:paraId="2378773F" w14:textId="524A9722"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Cairns, Rose, et al. "Paracetamol poisoning‐related hospital admissions and deaths in Australia, 2004–2017." </w:t>
      </w:r>
      <w:r w:rsidRPr="00BF0024">
        <w:rPr>
          <w:rFonts w:ascii="Times New Roman" w:hAnsi="Times New Roman" w:cs="Times New Roman"/>
          <w:i/>
          <w:iCs/>
          <w:color w:val="222222"/>
          <w:sz w:val="24"/>
          <w:szCs w:val="24"/>
          <w:shd w:val="clear" w:color="auto" w:fill="FFFFFF"/>
        </w:rPr>
        <w:t>Medical journal of Australia</w:t>
      </w:r>
      <w:r w:rsidRPr="00BF0024">
        <w:rPr>
          <w:rFonts w:ascii="Times New Roman" w:hAnsi="Times New Roman" w:cs="Times New Roman"/>
          <w:color w:val="222222"/>
          <w:sz w:val="24"/>
          <w:szCs w:val="24"/>
          <w:shd w:val="clear" w:color="auto" w:fill="FFFFFF"/>
        </w:rPr>
        <w:t> 211.5 (2019): 218-223.</w:t>
      </w:r>
    </w:p>
    <w:p w14:paraId="4C54ADF5" w14:textId="762B4F32" w:rsidR="00BF0024" w:rsidRPr="00BF0024" w:rsidRDefault="00BF0024" w:rsidP="00BF0024">
      <w:pPr>
        <w:pStyle w:val="Akapitzlist"/>
        <w:numPr>
          <w:ilvl w:val="0"/>
          <w:numId w:val="3"/>
        </w:numPr>
        <w:spacing w:line="360" w:lineRule="auto"/>
        <w:rPr>
          <w:rFonts w:ascii="Times New Roman" w:hAnsi="Times New Roman" w:cs="Times New Roman"/>
          <w:color w:val="222222"/>
          <w:sz w:val="24"/>
          <w:szCs w:val="24"/>
          <w:shd w:val="clear" w:color="auto" w:fill="FFFFFF"/>
        </w:rPr>
      </w:pPr>
      <w:r w:rsidRPr="00BF0024">
        <w:rPr>
          <w:rFonts w:ascii="Times New Roman" w:hAnsi="Times New Roman" w:cs="Times New Roman"/>
          <w:color w:val="222222"/>
          <w:sz w:val="24"/>
          <w:szCs w:val="24"/>
          <w:shd w:val="clear" w:color="auto" w:fill="FFFFFF"/>
        </w:rPr>
        <w:t>Daly, Caroline, et al. "Paracetamol-related intentional drug overdose among young people: a national registry study of characteristics, incidence and trends, 2007–2018." </w:t>
      </w:r>
      <w:r w:rsidRPr="00BF0024">
        <w:rPr>
          <w:rFonts w:ascii="Times New Roman" w:hAnsi="Times New Roman" w:cs="Times New Roman"/>
          <w:i/>
          <w:iCs/>
          <w:color w:val="222222"/>
          <w:sz w:val="24"/>
          <w:szCs w:val="24"/>
          <w:shd w:val="clear" w:color="auto" w:fill="FFFFFF"/>
        </w:rPr>
        <w:t>Social psychiatry and psychiatric epidemiology</w:t>
      </w:r>
      <w:r w:rsidRPr="00BF0024">
        <w:rPr>
          <w:rFonts w:ascii="Times New Roman" w:hAnsi="Times New Roman" w:cs="Times New Roman"/>
          <w:color w:val="222222"/>
          <w:sz w:val="24"/>
          <w:szCs w:val="24"/>
          <w:shd w:val="clear" w:color="auto" w:fill="FFFFFF"/>
        </w:rPr>
        <w:t> 56 (2021): 773-781.</w:t>
      </w:r>
    </w:p>
    <w:p w14:paraId="5A743C22" w14:textId="77777777" w:rsidR="007C5914" w:rsidRPr="00D601AB" w:rsidRDefault="007C5914">
      <w:pPr>
        <w:rPr>
          <w:rFonts w:ascii="Times New Roman" w:hAnsi="Times New Roman" w:cs="Times New Roman"/>
          <w:color w:val="222222"/>
          <w:sz w:val="24"/>
          <w:szCs w:val="24"/>
          <w:shd w:val="clear" w:color="auto" w:fill="FFFFFF"/>
        </w:rPr>
      </w:pPr>
    </w:p>
    <w:p w14:paraId="0FFD232F" w14:textId="77777777" w:rsidR="009416EE" w:rsidRPr="00D601AB" w:rsidRDefault="009416EE">
      <w:pPr>
        <w:rPr>
          <w:rFonts w:ascii="Times New Roman" w:hAnsi="Times New Roman" w:cs="Times New Roman"/>
          <w:color w:val="00B0F0"/>
          <w:sz w:val="24"/>
          <w:szCs w:val="24"/>
        </w:rPr>
      </w:pPr>
    </w:p>
    <w:sectPr w:rsidR="009416EE" w:rsidRPr="00D601AB">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EF0C" w14:textId="77777777" w:rsidR="007D7B66" w:rsidRDefault="007D7B66" w:rsidP="00D601AB">
      <w:pPr>
        <w:spacing w:after="0" w:line="240" w:lineRule="auto"/>
      </w:pPr>
      <w:r>
        <w:separator/>
      </w:r>
    </w:p>
  </w:endnote>
  <w:endnote w:type="continuationSeparator" w:id="0">
    <w:p w14:paraId="0545F949" w14:textId="77777777" w:rsidR="007D7B66" w:rsidRDefault="007D7B66" w:rsidP="00D6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257012"/>
      <w:docPartObj>
        <w:docPartGallery w:val="Page Numbers (Bottom of Page)"/>
        <w:docPartUnique/>
      </w:docPartObj>
    </w:sdtPr>
    <w:sdtContent>
      <w:p w14:paraId="4E73EA51" w14:textId="6B90A2AB" w:rsidR="00D601AB" w:rsidRDefault="00D601AB">
        <w:pPr>
          <w:pStyle w:val="Stopka"/>
          <w:jc w:val="right"/>
        </w:pPr>
        <w:r>
          <w:fldChar w:fldCharType="begin"/>
        </w:r>
        <w:r>
          <w:instrText>PAGE   \* MERGEFORMAT</w:instrText>
        </w:r>
        <w:r>
          <w:fldChar w:fldCharType="separate"/>
        </w:r>
        <w:r>
          <w:t>2</w:t>
        </w:r>
        <w:r>
          <w:fldChar w:fldCharType="end"/>
        </w:r>
      </w:p>
    </w:sdtContent>
  </w:sdt>
  <w:p w14:paraId="3A9B0188" w14:textId="77777777" w:rsidR="00D601AB" w:rsidRDefault="00D601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AF228" w14:textId="77777777" w:rsidR="007D7B66" w:rsidRDefault="007D7B66" w:rsidP="00D601AB">
      <w:pPr>
        <w:spacing w:after="0" w:line="240" w:lineRule="auto"/>
      </w:pPr>
      <w:r>
        <w:separator/>
      </w:r>
    </w:p>
  </w:footnote>
  <w:footnote w:type="continuationSeparator" w:id="0">
    <w:p w14:paraId="5C5BE9A9" w14:textId="77777777" w:rsidR="007D7B66" w:rsidRDefault="007D7B66" w:rsidP="00D60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56C67"/>
    <w:multiLevelType w:val="hybridMultilevel"/>
    <w:tmpl w:val="035E8CFC"/>
    <w:lvl w:ilvl="0" w:tplc="7EE226C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41EB14CE"/>
    <w:multiLevelType w:val="hybridMultilevel"/>
    <w:tmpl w:val="C888A386"/>
    <w:lvl w:ilvl="0" w:tplc="4EFC93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57970E11"/>
    <w:multiLevelType w:val="hybridMultilevel"/>
    <w:tmpl w:val="79FAE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CD7544"/>
    <w:multiLevelType w:val="hybridMultilevel"/>
    <w:tmpl w:val="F46EC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0024930">
    <w:abstractNumId w:val="3"/>
  </w:num>
  <w:num w:numId="2" w16cid:durableId="1414427519">
    <w:abstractNumId w:val="1"/>
  </w:num>
  <w:num w:numId="3" w16cid:durableId="693726993">
    <w:abstractNumId w:val="2"/>
  </w:num>
  <w:num w:numId="4" w16cid:durableId="34517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79"/>
    <w:rsid w:val="00010DE8"/>
    <w:rsid w:val="000116FF"/>
    <w:rsid w:val="00013959"/>
    <w:rsid w:val="000147EF"/>
    <w:rsid w:val="00014CBB"/>
    <w:rsid w:val="00016CD5"/>
    <w:rsid w:val="000336FE"/>
    <w:rsid w:val="00043D36"/>
    <w:rsid w:val="00046418"/>
    <w:rsid w:val="00057EF0"/>
    <w:rsid w:val="00064FF9"/>
    <w:rsid w:val="00070AE5"/>
    <w:rsid w:val="00096FB4"/>
    <w:rsid w:val="000A2371"/>
    <w:rsid w:val="000B5B67"/>
    <w:rsid w:val="000C42E5"/>
    <w:rsid w:val="000C654B"/>
    <w:rsid w:val="000E2BC9"/>
    <w:rsid w:val="000F5EF4"/>
    <w:rsid w:val="000F6CD0"/>
    <w:rsid w:val="00110187"/>
    <w:rsid w:val="00117702"/>
    <w:rsid w:val="00122932"/>
    <w:rsid w:val="00127ABD"/>
    <w:rsid w:val="00146F1D"/>
    <w:rsid w:val="001565C0"/>
    <w:rsid w:val="00157E67"/>
    <w:rsid w:val="0016057F"/>
    <w:rsid w:val="0016414C"/>
    <w:rsid w:val="00167621"/>
    <w:rsid w:val="00170E3B"/>
    <w:rsid w:val="00171FFE"/>
    <w:rsid w:val="00174546"/>
    <w:rsid w:val="00186577"/>
    <w:rsid w:val="00186DA7"/>
    <w:rsid w:val="00191624"/>
    <w:rsid w:val="001A2630"/>
    <w:rsid w:val="001A3FA3"/>
    <w:rsid w:val="001B3D0F"/>
    <w:rsid w:val="001B478E"/>
    <w:rsid w:val="001C1B58"/>
    <w:rsid w:val="001C3A10"/>
    <w:rsid w:val="001D6129"/>
    <w:rsid w:val="001D7638"/>
    <w:rsid w:val="00203724"/>
    <w:rsid w:val="002037DC"/>
    <w:rsid w:val="00207CA1"/>
    <w:rsid w:val="002143E5"/>
    <w:rsid w:val="002169D6"/>
    <w:rsid w:val="002206FA"/>
    <w:rsid w:val="00223888"/>
    <w:rsid w:val="00232E65"/>
    <w:rsid w:val="00234BAA"/>
    <w:rsid w:val="00234CE1"/>
    <w:rsid w:val="00244CC2"/>
    <w:rsid w:val="00253948"/>
    <w:rsid w:val="00254FE8"/>
    <w:rsid w:val="00257F7D"/>
    <w:rsid w:val="00260515"/>
    <w:rsid w:val="00260EF7"/>
    <w:rsid w:val="00281E99"/>
    <w:rsid w:val="0028658D"/>
    <w:rsid w:val="00287E5A"/>
    <w:rsid w:val="00287F6C"/>
    <w:rsid w:val="002A4DBF"/>
    <w:rsid w:val="002A7A12"/>
    <w:rsid w:val="002C52EC"/>
    <w:rsid w:val="002D0290"/>
    <w:rsid w:val="002D125E"/>
    <w:rsid w:val="002D2594"/>
    <w:rsid w:val="002E0EF0"/>
    <w:rsid w:val="002F1771"/>
    <w:rsid w:val="003004E9"/>
    <w:rsid w:val="0030711A"/>
    <w:rsid w:val="00312FA7"/>
    <w:rsid w:val="003135D6"/>
    <w:rsid w:val="003153B3"/>
    <w:rsid w:val="00316B05"/>
    <w:rsid w:val="00317426"/>
    <w:rsid w:val="003217FD"/>
    <w:rsid w:val="00327819"/>
    <w:rsid w:val="00333ACC"/>
    <w:rsid w:val="0033721C"/>
    <w:rsid w:val="0034526A"/>
    <w:rsid w:val="00350EA4"/>
    <w:rsid w:val="0035500B"/>
    <w:rsid w:val="003655AB"/>
    <w:rsid w:val="003722DC"/>
    <w:rsid w:val="00372998"/>
    <w:rsid w:val="0038006D"/>
    <w:rsid w:val="003807EB"/>
    <w:rsid w:val="00383294"/>
    <w:rsid w:val="00390744"/>
    <w:rsid w:val="003962E8"/>
    <w:rsid w:val="003C4D8B"/>
    <w:rsid w:val="003C550C"/>
    <w:rsid w:val="003C6007"/>
    <w:rsid w:val="003C6267"/>
    <w:rsid w:val="003D1550"/>
    <w:rsid w:val="003E56FF"/>
    <w:rsid w:val="003F422B"/>
    <w:rsid w:val="003F6B07"/>
    <w:rsid w:val="003F6B23"/>
    <w:rsid w:val="0043193C"/>
    <w:rsid w:val="0043487E"/>
    <w:rsid w:val="00434CE9"/>
    <w:rsid w:val="00455CD9"/>
    <w:rsid w:val="0046429D"/>
    <w:rsid w:val="00464E53"/>
    <w:rsid w:val="0047233A"/>
    <w:rsid w:val="004829A0"/>
    <w:rsid w:val="0048308A"/>
    <w:rsid w:val="004909C5"/>
    <w:rsid w:val="00490E63"/>
    <w:rsid w:val="004939B8"/>
    <w:rsid w:val="004A3E2A"/>
    <w:rsid w:val="004A4F5A"/>
    <w:rsid w:val="004B097E"/>
    <w:rsid w:val="004C3F6F"/>
    <w:rsid w:val="004C46B6"/>
    <w:rsid w:val="004D343C"/>
    <w:rsid w:val="004D46D0"/>
    <w:rsid w:val="004D7CAA"/>
    <w:rsid w:val="004E0B41"/>
    <w:rsid w:val="004E7186"/>
    <w:rsid w:val="004F4827"/>
    <w:rsid w:val="004F5D50"/>
    <w:rsid w:val="005245CD"/>
    <w:rsid w:val="0053190B"/>
    <w:rsid w:val="005330F6"/>
    <w:rsid w:val="005367E1"/>
    <w:rsid w:val="005423F2"/>
    <w:rsid w:val="00544D1D"/>
    <w:rsid w:val="005537F7"/>
    <w:rsid w:val="005566DD"/>
    <w:rsid w:val="00561918"/>
    <w:rsid w:val="00571933"/>
    <w:rsid w:val="005743F5"/>
    <w:rsid w:val="00574C8C"/>
    <w:rsid w:val="00580B9D"/>
    <w:rsid w:val="00585EF7"/>
    <w:rsid w:val="00587C87"/>
    <w:rsid w:val="00597F78"/>
    <w:rsid w:val="005A2D2B"/>
    <w:rsid w:val="005A4DB3"/>
    <w:rsid w:val="005B6623"/>
    <w:rsid w:val="005C6379"/>
    <w:rsid w:val="005D5914"/>
    <w:rsid w:val="005D7DCC"/>
    <w:rsid w:val="005E1A0D"/>
    <w:rsid w:val="00606DDD"/>
    <w:rsid w:val="00626FC6"/>
    <w:rsid w:val="006400B0"/>
    <w:rsid w:val="00640BCE"/>
    <w:rsid w:val="00641990"/>
    <w:rsid w:val="00646A9E"/>
    <w:rsid w:val="00647178"/>
    <w:rsid w:val="00665CA9"/>
    <w:rsid w:val="00665CD6"/>
    <w:rsid w:val="0069268C"/>
    <w:rsid w:val="00694732"/>
    <w:rsid w:val="006959B7"/>
    <w:rsid w:val="00697CF9"/>
    <w:rsid w:val="006B1B09"/>
    <w:rsid w:val="006B5106"/>
    <w:rsid w:val="006C01AD"/>
    <w:rsid w:val="006C2E31"/>
    <w:rsid w:val="006D4CF7"/>
    <w:rsid w:val="006D734E"/>
    <w:rsid w:val="006F0A73"/>
    <w:rsid w:val="007046CB"/>
    <w:rsid w:val="007078DD"/>
    <w:rsid w:val="00737FED"/>
    <w:rsid w:val="00747631"/>
    <w:rsid w:val="0075114B"/>
    <w:rsid w:val="00760869"/>
    <w:rsid w:val="00786A13"/>
    <w:rsid w:val="007911D1"/>
    <w:rsid w:val="007953BB"/>
    <w:rsid w:val="00797683"/>
    <w:rsid w:val="007A1982"/>
    <w:rsid w:val="007A31AF"/>
    <w:rsid w:val="007B16AD"/>
    <w:rsid w:val="007C1A2A"/>
    <w:rsid w:val="007C4B9F"/>
    <w:rsid w:val="007C5914"/>
    <w:rsid w:val="007D2030"/>
    <w:rsid w:val="007D608D"/>
    <w:rsid w:val="007D7B66"/>
    <w:rsid w:val="007E31A2"/>
    <w:rsid w:val="0082715F"/>
    <w:rsid w:val="00863320"/>
    <w:rsid w:val="008731F5"/>
    <w:rsid w:val="00880C9F"/>
    <w:rsid w:val="00887BE1"/>
    <w:rsid w:val="008B35C7"/>
    <w:rsid w:val="008B6961"/>
    <w:rsid w:val="008D0BD0"/>
    <w:rsid w:val="008D7EF6"/>
    <w:rsid w:val="009043C0"/>
    <w:rsid w:val="0091509B"/>
    <w:rsid w:val="00920ED2"/>
    <w:rsid w:val="009214BE"/>
    <w:rsid w:val="009416EE"/>
    <w:rsid w:val="00946311"/>
    <w:rsid w:val="00946F16"/>
    <w:rsid w:val="00972B65"/>
    <w:rsid w:val="009815EF"/>
    <w:rsid w:val="00987203"/>
    <w:rsid w:val="00994696"/>
    <w:rsid w:val="009B323E"/>
    <w:rsid w:val="009C0B3D"/>
    <w:rsid w:val="009C0FC4"/>
    <w:rsid w:val="009C2D3A"/>
    <w:rsid w:val="009D42DA"/>
    <w:rsid w:val="009E4B29"/>
    <w:rsid w:val="009E4D0E"/>
    <w:rsid w:val="009F6628"/>
    <w:rsid w:val="00A156C5"/>
    <w:rsid w:val="00A23B29"/>
    <w:rsid w:val="00A23CD0"/>
    <w:rsid w:val="00A2447F"/>
    <w:rsid w:val="00A33641"/>
    <w:rsid w:val="00A3502F"/>
    <w:rsid w:val="00A3606B"/>
    <w:rsid w:val="00A55556"/>
    <w:rsid w:val="00A56237"/>
    <w:rsid w:val="00A56C1B"/>
    <w:rsid w:val="00A6372F"/>
    <w:rsid w:val="00A77141"/>
    <w:rsid w:val="00A858AE"/>
    <w:rsid w:val="00A94404"/>
    <w:rsid w:val="00A94B7D"/>
    <w:rsid w:val="00AA7379"/>
    <w:rsid w:val="00AB2955"/>
    <w:rsid w:val="00AD3232"/>
    <w:rsid w:val="00AE01D4"/>
    <w:rsid w:val="00AE2D4F"/>
    <w:rsid w:val="00AF6604"/>
    <w:rsid w:val="00B003D4"/>
    <w:rsid w:val="00B0119F"/>
    <w:rsid w:val="00B013EB"/>
    <w:rsid w:val="00B03D46"/>
    <w:rsid w:val="00B11D0E"/>
    <w:rsid w:val="00B12955"/>
    <w:rsid w:val="00B16701"/>
    <w:rsid w:val="00B30275"/>
    <w:rsid w:val="00B336DC"/>
    <w:rsid w:val="00B42F70"/>
    <w:rsid w:val="00B5319A"/>
    <w:rsid w:val="00B53D86"/>
    <w:rsid w:val="00B67003"/>
    <w:rsid w:val="00B74EDA"/>
    <w:rsid w:val="00B75FB1"/>
    <w:rsid w:val="00B76117"/>
    <w:rsid w:val="00B936A0"/>
    <w:rsid w:val="00BB5CA1"/>
    <w:rsid w:val="00BC04CB"/>
    <w:rsid w:val="00BC6D66"/>
    <w:rsid w:val="00BD2004"/>
    <w:rsid w:val="00BD27C5"/>
    <w:rsid w:val="00BD4E23"/>
    <w:rsid w:val="00BD671D"/>
    <w:rsid w:val="00BD7E71"/>
    <w:rsid w:val="00BE3192"/>
    <w:rsid w:val="00BF0024"/>
    <w:rsid w:val="00C02D06"/>
    <w:rsid w:val="00C07B82"/>
    <w:rsid w:val="00C10E5B"/>
    <w:rsid w:val="00C240DE"/>
    <w:rsid w:val="00C2791E"/>
    <w:rsid w:val="00C30779"/>
    <w:rsid w:val="00C4523C"/>
    <w:rsid w:val="00C60E5D"/>
    <w:rsid w:val="00C6641C"/>
    <w:rsid w:val="00C67879"/>
    <w:rsid w:val="00C70071"/>
    <w:rsid w:val="00C74C56"/>
    <w:rsid w:val="00C758A6"/>
    <w:rsid w:val="00C831C2"/>
    <w:rsid w:val="00C83D28"/>
    <w:rsid w:val="00C86DC3"/>
    <w:rsid w:val="00C939F8"/>
    <w:rsid w:val="00C962FF"/>
    <w:rsid w:val="00CA3CEC"/>
    <w:rsid w:val="00CB551B"/>
    <w:rsid w:val="00CC7754"/>
    <w:rsid w:val="00CE00CC"/>
    <w:rsid w:val="00CF2C40"/>
    <w:rsid w:val="00D03544"/>
    <w:rsid w:val="00D109A4"/>
    <w:rsid w:val="00D11F19"/>
    <w:rsid w:val="00D1591C"/>
    <w:rsid w:val="00D178E8"/>
    <w:rsid w:val="00D2183E"/>
    <w:rsid w:val="00D220A6"/>
    <w:rsid w:val="00D23692"/>
    <w:rsid w:val="00D35ED3"/>
    <w:rsid w:val="00D364A9"/>
    <w:rsid w:val="00D368F5"/>
    <w:rsid w:val="00D37255"/>
    <w:rsid w:val="00D50FAB"/>
    <w:rsid w:val="00D601AB"/>
    <w:rsid w:val="00D636CD"/>
    <w:rsid w:val="00D71AD6"/>
    <w:rsid w:val="00D7430A"/>
    <w:rsid w:val="00D76CF7"/>
    <w:rsid w:val="00DA1FEE"/>
    <w:rsid w:val="00DA6FCE"/>
    <w:rsid w:val="00DA7305"/>
    <w:rsid w:val="00DD1984"/>
    <w:rsid w:val="00DD4C99"/>
    <w:rsid w:val="00DE114F"/>
    <w:rsid w:val="00DE7A14"/>
    <w:rsid w:val="00E00153"/>
    <w:rsid w:val="00E07419"/>
    <w:rsid w:val="00E14318"/>
    <w:rsid w:val="00E218A8"/>
    <w:rsid w:val="00E4486B"/>
    <w:rsid w:val="00E52D44"/>
    <w:rsid w:val="00E775C0"/>
    <w:rsid w:val="00EA1975"/>
    <w:rsid w:val="00EA562D"/>
    <w:rsid w:val="00EA5685"/>
    <w:rsid w:val="00EA62E7"/>
    <w:rsid w:val="00EB2DD1"/>
    <w:rsid w:val="00ED0932"/>
    <w:rsid w:val="00ED78F6"/>
    <w:rsid w:val="00EE2FC5"/>
    <w:rsid w:val="00EF514B"/>
    <w:rsid w:val="00F11BFD"/>
    <w:rsid w:val="00F210AB"/>
    <w:rsid w:val="00F25F1F"/>
    <w:rsid w:val="00F35893"/>
    <w:rsid w:val="00F53066"/>
    <w:rsid w:val="00F6392E"/>
    <w:rsid w:val="00F66DFE"/>
    <w:rsid w:val="00F8446F"/>
    <w:rsid w:val="00F84D7C"/>
    <w:rsid w:val="00F850BF"/>
    <w:rsid w:val="00F90C4D"/>
    <w:rsid w:val="00F93922"/>
    <w:rsid w:val="00F9435D"/>
    <w:rsid w:val="00FB1C07"/>
    <w:rsid w:val="00FB3B4A"/>
    <w:rsid w:val="00FB76F2"/>
    <w:rsid w:val="00FC342C"/>
    <w:rsid w:val="00FD031C"/>
    <w:rsid w:val="00FD1BB7"/>
    <w:rsid w:val="00FD526F"/>
    <w:rsid w:val="00FD6F48"/>
    <w:rsid w:val="00FE41AD"/>
    <w:rsid w:val="00FF4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B42E"/>
  <w15:chartTrackingRefBased/>
  <w15:docId w15:val="{BDDAD534-45C9-47BF-B99D-439AA25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52EC"/>
  </w:style>
  <w:style w:type="paragraph" w:styleId="Nagwek1">
    <w:name w:val="heading 1"/>
    <w:basedOn w:val="Normalny"/>
    <w:next w:val="Normalny"/>
    <w:link w:val="Nagwek1Znak"/>
    <w:uiPriority w:val="9"/>
    <w:qFormat/>
    <w:rsid w:val="00AA7379"/>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pl-PL"/>
      <w14:ligatures w14:val="none"/>
    </w:rPr>
  </w:style>
  <w:style w:type="paragraph" w:styleId="Nagwek3">
    <w:name w:val="heading 3"/>
    <w:basedOn w:val="Normalny"/>
    <w:next w:val="Normalny"/>
    <w:link w:val="Nagwek3Znak"/>
    <w:uiPriority w:val="9"/>
    <w:semiHidden/>
    <w:unhideWhenUsed/>
    <w:qFormat/>
    <w:rsid w:val="00DE7A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7379"/>
    <w:rPr>
      <w:rFonts w:asciiTheme="majorHAnsi" w:eastAsiaTheme="majorEastAsia" w:hAnsiTheme="majorHAnsi" w:cstheme="majorBidi"/>
      <w:color w:val="2F5496" w:themeColor="accent1" w:themeShade="BF"/>
      <w:kern w:val="0"/>
      <w:sz w:val="32"/>
      <w:szCs w:val="32"/>
      <w:lang w:eastAsia="pl-PL"/>
      <w14:ligatures w14:val="none"/>
    </w:rPr>
  </w:style>
  <w:style w:type="paragraph" w:styleId="Bibliografia">
    <w:name w:val="Bibliography"/>
    <w:basedOn w:val="Normalny"/>
    <w:next w:val="Normalny"/>
    <w:uiPriority w:val="37"/>
    <w:unhideWhenUsed/>
    <w:rsid w:val="00AA7379"/>
  </w:style>
  <w:style w:type="character" w:styleId="Pogrubienie">
    <w:name w:val="Strong"/>
    <w:basedOn w:val="Domylnaczcionkaakapitu"/>
    <w:uiPriority w:val="22"/>
    <w:qFormat/>
    <w:rsid w:val="00EF514B"/>
    <w:rPr>
      <w:b/>
      <w:bCs/>
    </w:rPr>
  </w:style>
  <w:style w:type="character" w:styleId="Odwoaniedokomentarza">
    <w:name w:val="annotation reference"/>
    <w:basedOn w:val="Domylnaczcionkaakapitu"/>
    <w:uiPriority w:val="99"/>
    <w:semiHidden/>
    <w:unhideWhenUsed/>
    <w:rsid w:val="004E0B41"/>
    <w:rPr>
      <w:sz w:val="16"/>
      <w:szCs w:val="16"/>
    </w:rPr>
  </w:style>
  <w:style w:type="paragraph" w:styleId="Tekstkomentarza">
    <w:name w:val="annotation text"/>
    <w:basedOn w:val="Normalny"/>
    <w:link w:val="TekstkomentarzaZnak"/>
    <w:uiPriority w:val="99"/>
    <w:semiHidden/>
    <w:unhideWhenUsed/>
    <w:rsid w:val="004E0B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0B41"/>
    <w:rPr>
      <w:sz w:val="20"/>
      <w:szCs w:val="20"/>
    </w:rPr>
  </w:style>
  <w:style w:type="paragraph" w:styleId="Tematkomentarza">
    <w:name w:val="annotation subject"/>
    <w:basedOn w:val="Tekstkomentarza"/>
    <w:next w:val="Tekstkomentarza"/>
    <w:link w:val="TematkomentarzaZnak"/>
    <w:uiPriority w:val="99"/>
    <w:semiHidden/>
    <w:unhideWhenUsed/>
    <w:rsid w:val="004E0B41"/>
    <w:rPr>
      <w:b/>
      <w:bCs/>
    </w:rPr>
  </w:style>
  <w:style w:type="character" w:customStyle="1" w:styleId="TematkomentarzaZnak">
    <w:name w:val="Temat komentarza Znak"/>
    <w:basedOn w:val="TekstkomentarzaZnak"/>
    <w:link w:val="Tematkomentarza"/>
    <w:uiPriority w:val="99"/>
    <w:semiHidden/>
    <w:rsid w:val="004E0B41"/>
    <w:rPr>
      <w:b/>
      <w:bCs/>
      <w:sz w:val="20"/>
      <w:szCs w:val="20"/>
    </w:rPr>
  </w:style>
  <w:style w:type="paragraph" w:styleId="Legenda">
    <w:name w:val="caption"/>
    <w:basedOn w:val="Normalny"/>
    <w:next w:val="Normalny"/>
    <w:uiPriority w:val="35"/>
    <w:unhideWhenUsed/>
    <w:qFormat/>
    <w:rsid w:val="004909C5"/>
    <w:pPr>
      <w:spacing w:after="200" w:line="240" w:lineRule="auto"/>
    </w:pPr>
    <w:rPr>
      <w:i/>
      <w:iCs/>
      <w:color w:val="44546A" w:themeColor="text2"/>
      <w:sz w:val="18"/>
      <w:szCs w:val="18"/>
    </w:rPr>
  </w:style>
  <w:style w:type="character" w:customStyle="1" w:styleId="Nagwek3Znak">
    <w:name w:val="Nagłówek 3 Znak"/>
    <w:basedOn w:val="Domylnaczcionkaakapitu"/>
    <w:link w:val="Nagwek3"/>
    <w:uiPriority w:val="9"/>
    <w:semiHidden/>
    <w:rsid w:val="00DE7A14"/>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semiHidden/>
    <w:unhideWhenUsed/>
    <w:rsid w:val="00DE7A14"/>
    <w:rPr>
      <w:color w:val="0000FF"/>
      <w:u w:val="single"/>
    </w:rPr>
  </w:style>
  <w:style w:type="table" w:styleId="Tabela-Siatka">
    <w:name w:val="Table Grid"/>
    <w:basedOn w:val="Standardowy"/>
    <w:uiPriority w:val="39"/>
    <w:rsid w:val="00FB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C52EC"/>
    <w:pPr>
      <w:ind w:left="720"/>
      <w:contextualSpacing/>
    </w:pPr>
  </w:style>
  <w:style w:type="paragraph" w:styleId="Nagwek">
    <w:name w:val="header"/>
    <w:basedOn w:val="Normalny"/>
    <w:link w:val="NagwekZnak"/>
    <w:uiPriority w:val="99"/>
    <w:unhideWhenUsed/>
    <w:rsid w:val="00D601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01AB"/>
  </w:style>
  <w:style w:type="paragraph" w:styleId="Stopka">
    <w:name w:val="footer"/>
    <w:basedOn w:val="Normalny"/>
    <w:link w:val="StopkaZnak"/>
    <w:uiPriority w:val="99"/>
    <w:unhideWhenUsed/>
    <w:rsid w:val="00D601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8949">
      <w:bodyDiv w:val="1"/>
      <w:marLeft w:val="0"/>
      <w:marRight w:val="0"/>
      <w:marTop w:val="0"/>
      <w:marBottom w:val="0"/>
      <w:divBdr>
        <w:top w:val="none" w:sz="0" w:space="0" w:color="auto"/>
        <w:left w:val="none" w:sz="0" w:space="0" w:color="auto"/>
        <w:bottom w:val="none" w:sz="0" w:space="0" w:color="auto"/>
        <w:right w:val="none" w:sz="0" w:space="0" w:color="auto"/>
      </w:divBdr>
    </w:div>
    <w:div w:id="59836837">
      <w:bodyDiv w:val="1"/>
      <w:marLeft w:val="0"/>
      <w:marRight w:val="0"/>
      <w:marTop w:val="0"/>
      <w:marBottom w:val="0"/>
      <w:divBdr>
        <w:top w:val="none" w:sz="0" w:space="0" w:color="auto"/>
        <w:left w:val="none" w:sz="0" w:space="0" w:color="auto"/>
        <w:bottom w:val="none" w:sz="0" w:space="0" w:color="auto"/>
        <w:right w:val="none" w:sz="0" w:space="0" w:color="auto"/>
      </w:divBdr>
    </w:div>
    <w:div w:id="133833614">
      <w:bodyDiv w:val="1"/>
      <w:marLeft w:val="0"/>
      <w:marRight w:val="0"/>
      <w:marTop w:val="0"/>
      <w:marBottom w:val="0"/>
      <w:divBdr>
        <w:top w:val="none" w:sz="0" w:space="0" w:color="auto"/>
        <w:left w:val="none" w:sz="0" w:space="0" w:color="auto"/>
        <w:bottom w:val="none" w:sz="0" w:space="0" w:color="auto"/>
        <w:right w:val="none" w:sz="0" w:space="0" w:color="auto"/>
      </w:divBdr>
    </w:div>
    <w:div w:id="142939861">
      <w:bodyDiv w:val="1"/>
      <w:marLeft w:val="0"/>
      <w:marRight w:val="0"/>
      <w:marTop w:val="0"/>
      <w:marBottom w:val="0"/>
      <w:divBdr>
        <w:top w:val="none" w:sz="0" w:space="0" w:color="auto"/>
        <w:left w:val="none" w:sz="0" w:space="0" w:color="auto"/>
        <w:bottom w:val="none" w:sz="0" w:space="0" w:color="auto"/>
        <w:right w:val="none" w:sz="0" w:space="0" w:color="auto"/>
      </w:divBdr>
    </w:div>
    <w:div w:id="188682246">
      <w:bodyDiv w:val="1"/>
      <w:marLeft w:val="0"/>
      <w:marRight w:val="0"/>
      <w:marTop w:val="0"/>
      <w:marBottom w:val="0"/>
      <w:divBdr>
        <w:top w:val="none" w:sz="0" w:space="0" w:color="auto"/>
        <w:left w:val="none" w:sz="0" w:space="0" w:color="auto"/>
        <w:bottom w:val="none" w:sz="0" w:space="0" w:color="auto"/>
        <w:right w:val="none" w:sz="0" w:space="0" w:color="auto"/>
      </w:divBdr>
    </w:div>
    <w:div w:id="232742624">
      <w:bodyDiv w:val="1"/>
      <w:marLeft w:val="0"/>
      <w:marRight w:val="0"/>
      <w:marTop w:val="0"/>
      <w:marBottom w:val="0"/>
      <w:divBdr>
        <w:top w:val="none" w:sz="0" w:space="0" w:color="auto"/>
        <w:left w:val="none" w:sz="0" w:space="0" w:color="auto"/>
        <w:bottom w:val="none" w:sz="0" w:space="0" w:color="auto"/>
        <w:right w:val="none" w:sz="0" w:space="0" w:color="auto"/>
      </w:divBdr>
    </w:div>
    <w:div w:id="244996028">
      <w:bodyDiv w:val="1"/>
      <w:marLeft w:val="0"/>
      <w:marRight w:val="0"/>
      <w:marTop w:val="0"/>
      <w:marBottom w:val="0"/>
      <w:divBdr>
        <w:top w:val="none" w:sz="0" w:space="0" w:color="auto"/>
        <w:left w:val="none" w:sz="0" w:space="0" w:color="auto"/>
        <w:bottom w:val="none" w:sz="0" w:space="0" w:color="auto"/>
        <w:right w:val="none" w:sz="0" w:space="0" w:color="auto"/>
      </w:divBdr>
    </w:div>
    <w:div w:id="299848309">
      <w:bodyDiv w:val="1"/>
      <w:marLeft w:val="0"/>
      <w:marRight w:val="0"/>
      <w:marTop w:val="0"/>
      <w:marBottom w:val="0"/>
      <w:divBdr>
        <w:top w:val="none" w:sz="0" w:space="0" w:color="auto"/>
        <w:left w:val="none" w:sz="0" w:space="0" w:color="auto"/>
        <w:bottom w:val="none" w:sz="0" w:space="0" w:color="auto"/>
        <w:right w:val="none" w:sz="0" w:space="0" w:color="auto"/>
      </w:divBdr>
    </w:div>
    <w:div w:id="402217695">
      <w:bodyDiv w:val="1"/>
      <w:marLeft w:val="0"/>
      <w:marRight w:val="0"/>
      <w:marTop w:val="0"/>
      <w:marBottom w:val="0"/>
      <w:divBdr>
        <w:top w:val="none" w:sz="0" w:space="0" w:color="auto"/>
        <w:left w:val="none" w:sz="0" w:space="0" w:color="auto"/>
        <w:bottom w:val="none" w:sz="0" w:space="0" w:color="auto"/>
        <w:right w:val="none" w:sz="0" w:space="0" w:color="auto"/>
      </w:divBdr>
    </w:div>
    <w:div w:id="431245678">
      <w:bodyDiv w:val="1"/>
      <w:marLeft w:val="0"/>
      <w:marRight w:val="0"/>
      <w:marTop w:val="0"/>
      <w:marBottom w:val="0"/>
      <w:divBdr>
        <w:top w:val="none" w:sz="0" w:space="0" w:color="auto"/>
        <w:left w:val="none" w:sz="0" w:space="0" w:color="auto"/>
        <w:bottom w:val="none" w:sz="0" w:space="0" w:color="auto"/>
        <w:right w:val="none" w:sz="0" w:space="0" w:color="auto"/>
      </w:divBdr>
    </w:div>
    <w:div w:id="476729412">
      <w:bodyDiv w:val="1"/>
      <w:marLeft w:val="0"/>
      <w:marRight w:val="0"/>
      <w:marTop w:val="0"/>
      <w:marBottom w:val="0"/>
      <w:divBdr>
        <w:top w:val="none" w:sz="0" w:space="0" w:color="auto"/>
        <w:left w:val="none" w:sz="0" w:space="0" w:color="auto"/>
        <w:bottom w:val="none" w:sz="0" w:space="0" w:color="auto"/>
        <w:right w:val="none" w:sz="0" w:space="0" w:color="auto"/>
      </w:divBdr>
    </w:div>
    <w:div w:id="491724202">
      <w:bodyDiv w:val="1"/>
      <w:marLeft w:val="0"/>
      <w:marRight w:val="0"/>
      <w:marTop w:val="0"/>
      <w:marBottom w:val="0"/>
      <w:divBdr>
        <w:top w:val="none" w:sz="0" w:space="0" w:color="auto"/>
        <w:left w:val="none" w:sz="0" w:space="0" w:color="auto"/>
        <w:bottom w:val="none" w:sz="0" w:space="0" w:color="auto"/>
        <w:right w:val="none" w:sz="0" w:space="0" w:color="auto"/>
      </w:divBdr>
    </w:div>
    <w:div w:id="536048194">
      <w:bodyDiv w:val="1"/>
      <w:marLeft w:val="0"/>
      <w:marRight w:val="0"/>
      <w:marTop w:val="0"/>
      <w:marBottom w:val="0"/>
      <w:divBdr>
        <w:top w:val="none" w:sz="0" w:space="0" w:color="auto"/>
        <w:left w:val="none" w:sz="0" w:space="0" w:color="auto"/>
        <w:bottom w:val="none" w:sz="0" w:space="0" w:color="auto"/>
        <w:right w:val="none" w:sz="0" w:space="0" w:color="auto"/>
      </w:divBdr>
    </w:div>
    <w:div w:id="560334799">
      <w:bodyDiv w:val="1"/>
      <w:marLeft w:val="0"/>
      <w:marRight w:val="0"/>
      <w:marTop w:val="0"/>
      <w:marBottom w:val="0"/>
      <w:divBdr>
        <w:top w:val="none" w:sz="0" w:space="0" w:color="auto"/>
        <w:left w:val="none" w:sz="0" w:space="0" w:color="auto"/>
        <w:bottom w:val="none" w:sz="0" w:space="0" w:color="auto"/>
        <w:right w:val="none" w:sz="0" w:space="0" w:color="auto"/>
      </w:divBdr>
    </w:div>
    <w:div w:id="567955771">
      <w:bodyDiv w:val="1"/>
      <w:marLeft w:val="0"/>
      <w:marRight w:val="0"/>
      <w:marTop w:val="0"/>
      <w:marBottom w:val="0"/>
      <w:divBdr>
        <w:top w:val="none" w:sz="0" w:space="0" w:color="auto"/>
        <w:left w:val="none" w:sz="0" w:space="0" w:color="auto"/>
        <w:bottom w:val="none" w:sz="0" w:space="0" w:color="auto"/>
        <w:right w:val="none" w:sz="0" w:space="0" w:color="auto"/>
      </w:divBdr>
    </w:div>
    <w:div w:id="630867923">
      <w:bodyDiv w:val="1"/>
      <w:marLeft w:val="0"/>
      <w:marRight w:val="0"/>
      <w:marTop w:val="0"/>
      <w:marBottom w:val="0"/>
      <w:divBdr>
        <w:top w:val="none" w:sz="0" w:space="0" w:color="auto"/>
        <w:left w:val="none" w:sz="0" w:space="0" w:color="auto"/>
        <w:bottom w:val="none" w:sz="0" w:space="0" w:color="auto"/>
        <w:right w:val="none" w:sz="0" w:space="0" w:color="auto"/>
      </w:divBdr>
    </w:div>
    <w:div w:id="784498387">
      <w:bodyDiv w:val="1"/>
      <w:marLeft w:val="0"/>
      <w:marRight w:val="0"/>
      <w:marTop w:val="0"/>
      <w:marBottom w:val="0"/>
      <w:divBdr>
        <w:top w:val="none" w:sz="0" w:space="0" w:color="auto"/>
        <w:left w:val="none" w:sz="0" w:space="0" w:color="auto"/>
        <w:bottom w:val="none" w:sz="0" w:space="0" w:color="auto"/>
        <w:right w:val="none" w:sz="0" w:space="0" w:color="auto"/>
      </w:divBdr>
    </w:div>
    <w:div w:id="785581164">
      <w:bodyDiv w:val="1"/>
      <w:marLeft w:val="0"/>
      <w:marRight w:val="0"/>
      <w:marTop w:val="0"/>
      <w:marBottom w:val="0"/>
      <w:divBdr>
        <w:top w:val="none" w:sz="0" w:space="0" w:color="auto"/>
        <w:left w:val="none" w:sz="0" w:space="0" w:color="auto"/>
        <w:bottom w:val="none" w:sz="0" w:space="0" w:color="auto"/>
        <w:right w:val="none" w:sz="0" w:space="0" w:color="auto"/>
      </w:divBdr>
    </w:div>
    <w:div w:id="886181145">
      <w:bodyDiv w:val="1"/>
      <w:marLeft w:val="0"/>
      <w:marRight w:val="0"/>
      <w:marTop w:val="0"/>
      <w:marBottom w:val="0"/>
      <w:divBdr>
        <w:top w:val="none" w:sz="0" w:space="0" w:color="auto"/>
        <w:left w:val="none" w:sz="0" w:space="0" w:color="auto"/>
        <w:bottom w:val="none" w:sz="0" w:space="0" w:color="auto"/>
        <w:right w:val="none" w:sz="0" w:space="0" w:color="auto"/>
      </w:divBdr>
    </w:div>
    <w:div w:id="923076997">
      <w:bodyDiv w:val="1"/>
      <w:marLeft w:val="0"/>
      <w:marRight w:val="0"/>
      <w:marTop w:val="0"/>
      <w:marBottom w:val="0"/>
      <w:divBdr>
        <w:top w:val="none" w:sz="0" w:space="0" w:color="auto"/>
        <w:left w:val="none" w:sz="0" w:space="0" w:color="auto"/>
        <w:bottom w:val="none" w:sz="0" w:space="0" w:color="auto"/>
        <w:right w:val="none" w:sz="0" w:space="0" w:color="auto"/>
      </w:divBdr>
    </w:div>
    <w:div w:id="943996423">
      <w:bodyDiv w:val="1"/>
      <w:marLeft w:val="0"/>
      <w:marRight w:val="0"/>
      <w:marTop w:val="0"/>
      <w:marBottom w:val="0"/>
      <w:divBdr>
        <w:top w:val="none" w:sz="0" w:space="0" w:color="auto"/>
        <w:left w:val="none" w:sz="0" w:space="0" w:color="auto"/>
        <w:bottom w:val="none" w:sz="0" w:space="0" w:color="auto"/>
        <w:right w:val="none" w:sz="0" w:space="0" w:color="auto"/>
      </w:divBdr>
    </w:div>
    <w:div w:id="1045639046">
      <w:bodyDiv w:val="1"/>
      <w:marLeft w:val="0"/>
      <w:marRight w:val="0"/>
      <w:marTop w:val="0"/>
      <w:marBottom w:val="0"/>
      <w:divBdr>
        <w:top w:val="none" w:sz="0" w:space="0" w:color="auto"/>
        <w:left w:val="none" w:sz="0" w:space="0" w:color="auto"/>
        <w:bottom w:val="none" w:sz="0" w:space="0" w:color="auto"/>
        <w:right w:val="none" w:sz="0" w:space="0" w:color="auto"/>
      </w:divBdr>
    </w:div>
    <w:div w:id="1055201913">
      <w:bodyDiv w:val="1"/>
      <w:marLeft w:val="0"/>
      <w:marRight w:val="0"/>
      <w:marTop w:val="0"/>
      <w:marBottom w:val="0"/>
      <w:divBdr>
        <w:top w:val="none" w:sz="0" w:space="0" w:color="auto"/>
        <w:left w:val="none" w:sz="0" w:space="0" w:color="auto"/>
        <w:bottom w:val="none" w:sz="0" w:space="0" w:color="auto"/>
        <w:right w:val="none" w:sz="0" w:space="0" w:color="auto"/>
      </w:divBdr>
    </w:div>
    <w:div w:id="1092773696">
      <w:bodyDiv w:val="1"/>
      <w:marLeft w:val="0"/>
      <w:marRight w:val="0"/>
      <w:marTop w:val="0"/>
      <w:marBottom w:val="0"/>
      <w:divBdr>
        <w:top w:val="none" w:sz="0" w:space="0" w:color="auto"/>
        <w:left w:val="none" w:sz="0" w:space="0" w:color="auto"/>
        <w:bottom w:val="none" w:sz="0" w:space="0" w:color="auto"/>
        <w:right w:val="none" w:sz="0" w:space="0" w:color="auto"/>
      </w:divBdr>
    </w:div>
    <w:div w:id="1118648699">
      <w:bodyDiv w:val="1"/>
      <w:marLeft w:val="0"/>
      <w:marRight w:val="0"/>
      <w:marTop w:val="0"/>
      <w:marBottom w:val="0"/>
      <w:divBdr>
        <w:top w:val="none" w:sz="0" w:space="0" w:color="auto"/>
        <w:left w:val="none" w:sz="0" w:space="0" w:color="auto"/>
        <w:bottom w:val="none" w:sz="0" w:space="0" w:color="auto"/>
        <w:right w:val="none" w:sz="0" w:space="0" w:color="auto"/>
      </w:divBdr>
    </w:div>
    <w:div w:id="1138760512">
      <w:bodyDiv w:val="1"/>
      <w:marLeft w:val="0"/>
      <w:marRight w:val="0"/>
      <w:marTop w:val="0"/>
      <w:marBottom w:val="0"/>
      <w:divBdr>
        <w:top w:val="none" w:sz="0" w:space="0" w:color="auto"/>
        <w:left w:val="none" w:sz="0" w:space="0" w:color="auto"/>
        <w:bottom w:val="none" w:sz="0" w:space="0" w:color="auto"/>
        <w:right w:val="none" w:sz="0" w:space="0" w:color="auto"/>
      </w:divBdr>
    </w:div>
    <w:div w:id="1240408715">
      <w:bodyDiv w:val="1"/>
      <w:marLeft w:val="0"/>
      <w:marRight w:val="0"/>
      <w:marTop w:val="0"/>
      <w:marBottom w:val="0"/>
      <w:divBdr>
        <w:top w:val="none" w:sz="0" w:space="0" w:color="auto"/>
        <w:left w:val="none" w:sz="0" w:space="0" w:color="auto"/>
        <w:bottom w:val="none" w:sz="0" w:space="0" w:color="auto"/>
        <w:right w:val="none" w:sz="0" w:space="0" w:color="auto"/>
      </w:divBdr>
    </w:div>
    <w:div w:id="1254784393">
      <w:bodyDiv w:val="1"/>
      <w:marLeft w:val="0"/>
      <w:marRight w:val="0"/>
      <w:marTop w:val="0"/>
      <w:marBottom w:val="0"/>
      <w:divBdr>
        <w:top w:val="none" w:sz="0" w:space="0" w:color="auto"/>
        <w:left w:val="none" w:sz="0" w:space="0" w:color="auto"/>
        <w:bottom w:val="none" w:sz="0" w:space="0" w:color="auto"/>
        <w:right w:val="none" w:sz="0" w:space="0" w:color="auto"/>
      </w:divBdr>
    </w:div>
    <w:div w:id="1281379866">
      <w:bodyDiv w:val="1"/>
      <w:marLeft w:val="0"/>
      <w:marRight w:val="0"/>
      <w:marTop w:val="0"/>
      <w:marBottom w:val="0"/>
      <w:divBdr>
        <w:top w:val="none" w:sz="0" w:space="0" w:color="auto"/>
        <w:left w:val="none" w:sz="0" w:space="0" w:color="auto"/>
        <w:bottom w:val="none" w:sz="0" w:space="0" w:color="auto"/>
        <w:right w:val="none" w:sz="0" w:space="0" w:color="auto"/>
      </w:divBdr>
    </w:div>
    <w:div w:id="1309239686">
      <w:bodyDiv w:val="1"/>
      <w:marLeft w:val="0"/>
      <w:marRight w:val="0"/>
      <w:marTop w:val="0"/>
      <w:marBottom w:val="0"/>
      <w:divBdr>
        <w:top w:val="none" w:sz="0" w:space="0" w:color="auto"/>
        <w:left w:val="none" w:sz="0" w:space="0" w:color="auto"/>
        <w:bottom w:val="none" w:sz="0" w:space="0" w:color="auto"/>
        <w:right w:val="none" w:sz="0" w:space="0" w:color="auto"/>
      </w:divBdr>
    </w:div>
    <w:div w:id="1378046535">
      <w:bodyDiv w:val="1"/>
      <w:marLeft w:val="0"/>
      <w:marRight w:val="0"/>
      <w:marTop w:val="0"/>
      <w:marBottom w:val="0"/>
      <w:divBdr>
        <w:top w:val="none" w:sz="0" w:space="0" w:color="auto"/>
        <w:left w:val="none" w:sz="0" w:space="0" w:color="auto"/>
        <w:bottom w:val="none" w:sz="0" w:space="0" w:color="auto"/>
        <w:right w:val="none" w:sz="0" w:space="0" w:color="auto"/>
      </w:divBdr>
    </w:div>
    <w:div w:id="1388915733">
      <w:bodyDiv w:val="1"/>
      <w:marLeft w:val="0"/>
      <w:marRight w:val="0"/>
      <w:marTop w:val="0"/>
      <w:marBottom w:val="0"/>
      <w:divBdr>
        <w:top w:val="none" w:sz="0" w:space="0" w:color="auto"/>
        <w:left w:val="none" w:sz="0" w:space="0" w:color="auto"/>
        <w:bottom w:val="none" w:sz="0" w:space="0" w:color="auto"/>
        <w:right w:val="none" w:sz="0" w:space="0" w:color="auto"/>
      </w:divBdr>
    </w:div>
    <w:div w:id="1492409801">
      <w:bodyDiv w:val="1"/>
      <w:marLeft w:val="0"/>
      <w:marRight w:val="0"/>
      <w:marTop w:val="0"/>
      <w:marBottom w:val="0"/>
      <w:divBdr>
        <w:top w:val="none" w:sz="0" w:space="0" w:color="auto"/>
        <w:left w:val="none" w:sz="0" w:space="0" w:color="auto"/>
        <w:bottom w:val="none" w:sz="0" w:space="0" w:color="auto"/>
        <w:right w:val="none" w:sz="0" w:space="0" w:color="auto"/>
      </w:divBdr>
    </w:div>
    <w:div w:id="1509054307">
      <w:bodyDiv w:val="1"/>
      <w:marLeft w:val="0"/>
      <w:marRight w:val="0"/>
      <w:marTop w:val="0"/>
      <w:marBottom w:val="0"/>
      <w:divBdr>
        <w:top w:val="none" w:sz="0" w:space="0" w:color="auto"/>
        <w:left w:val="none" w:sz="0" w:space="0" w:color="auto"/>
        <w:bottom w:val="none" w:sz="0" w:space="0" w:color="auto"/>
        <w:right w:val="none" w:sz="0" w:space="0" w:color="auto"/>
      </w:divBdr>
    </w:div>
    <w:div w:id="1555193435">
      <w:bodyDiv w:val="1"/>
      <w:marLeft w:val="0"/>
      <w:marRight w:val="0"/>
      <w:marTop w:val="0"/>
      <w:marBottom w:val="0"/>
      <w:divBdr>
        <w:top w:val="none" w:sz="0" w:space="0" w:color="auto"/>
        <w:left w:val="none" w:sz="0" w:space="0" w:color="auto"/>
        <w:bottom w:val="none" w:sz="0" w:space="0" w:color="auto"/>
        <w:right w:val="none" w:sz="0" w:space="0" w:color="auto"/>
      </w:divBdr>
    </w:div>
    <w:div w:id="1563517751">
      <w:bodyDiv w:val="1"/>
      <w:marLeft w:val="0"/>
      <w:marRight w:val="0"/>
      <w:marTop w:val="0"/>
      <w:marBottom w:val="0"/>
      <w:divBdr>
        <w:top w:val="none" w:sz="0" w:space="0" w:color="auto"/>
        <w:left w:val="none" w:sz="0" w:space="0" w:color="auto"/>
        <w:bottom w:val="none" w:sz="0" w:space="0" w:color="auto"/>
        <w:right w:val="none" w:sz="0" w:space="0" w:color="auto"/>
      </w:divBdr>
    </w:div>
    <w:div w:id="1621179525">
      <w:bodyDiv w:val="1"/>
      <w:marLeft w:val="0"/>
      <w:marRight w:val="0"/>
      <w:marTop w:val="0"/>
      <w:marBottom w:val="0"/>
      <w:divBdr>
        <w:top w:val="none" w:sz="0" w:space="0" w:color="auto"/>
        <w:left w:val="none" w:sz="0" w:space="0" w:color="auto"/>
        <w:bottom w:val="none" w:sz="0" w:space="0" w:color="auto"/>
        <w:right w:val="none" w:sz="0" w:space="0" w:color="auto"/>
      </w:divBdr>
    </w:div>
    <w:div w:id="1626812825">
      <w:bodyDiv w:val="1"/>
      <w:marLeft w:val="0"/>
      <w:marRight w:val="0"/>
      <w:marTop w:val="0"/>
      <w:marBottom w:val="0"/>
      <w:divBdr>
        <w:top w:val="none" w:sz="0" w:space="0" w:color="auto"/>
        <w:left w:val="none" w:sz="0" w:space="0" w:color="auto"/>
        <w:bottom w:val="none" w:sz="0" w:space="0" w:color="auto"/>
        <w:right w:val="none" w:sz="0" w:space="0" w:color="auto"/>
      </w:divBdr>
    </w:div>
    <w:div w:id="1728185486">
      <w:bodyDiv w:val="1"/>
      <w:marLeft w:val="0"/>
      <w:marRight w:val="0"/>
      <w:marTop w:val="0"/>
      <w:marBottom w:val="0"/>
      <w:divBdr>
        <w:top w:val="none" w:sz="0" w:space="0" w:color="auto"/>
        <w:left w:val="none" w:sz="0" w:space="0" w:color="auto"/>
        <w:bottom w:val="none" w:sz="0" w:space="0" w:color="auto"/>
        <w:right w:val="none" w:sz="0" w:space="0" w:color="auto"/>
      </w:divBdr>
    </w:div>
    <w:div w:id="1750812633">
      <w:bodyDiv w:val="1"/>
      <w:marLeft w:val="0"/>
      <w:marRight w:val="0"/>
      <w:marTop w:val="0"/>
      <w:marBottom w:val="0"/>
      <w:divBdr>
        <w:top w:val="none" w:sz="0" w:space="0" w:color="auto"/>
        <w:left w:val="none" w:sz="0" w:space="0" w:color="auto"/>
        <w:bottom w:val="none" w:sz="0" w:space="0" w:color="auto"/>
        <w:right w:val="none" w:sz="0" w:space="0" w:color="auto"/>
      </w:divBdr>
    </w:div>
    <w:div w:id="1791434297">
      <w:bodyDiv w:val="1"/>
      <w:marLeft w:val="0"/>
      <w:marRight w:val="0"/>
      <w:marTop w:val="0"/>
      <w:marBottom w:val="0"/>
      <w:divBdr>
        <w:top w:val="none" w:sz="0" w:space="0" w:color="auto"/>
        <w:left w:val="none" w:sz="0" w:space="0" w:color="auto"/>
        <w:bottom w:val="none" w:sz="0" w:space="0" w:color="auto"/>
        <w:right w:val="none" w:sz="0" w:space="0" w:color="auto"/>
      </w:divBdr>
    </w:div>
    <w:div w:id="1874268621">
      <w:bodyDiv w:val="1"/>
      <w:marLeft w:val="0"/>
      <w:marRight w:val="0"/>
      <w:marTop w:val="0"/>
      <w:marBottom w:val="0"/>
      <w:divBdr>
        <w:top w:val="none" w:sz="0" w:space="0" w:color="auto"/>
        <w:left w:val="none" w:sz="0" w:space="0" w:color="auto"/>
        <w:bottom w:val="none" w:sz="0" w:space="0" w:color="auto"/>
        <w:right w:val="none" w:sz="0" w:space="0" w:color="auto"/>
      </w:divBdr>
    </w:div>
    <w:div w:id="1981499222">
      <w:bodyDiv w:val="1"/>
      <w:marLeft w:val="0"/>
      <w:marRight w:val="0"/>
      <w:marTop w:val="0"/>
      <w:marBottom w:val="0"/>
      <w:divBdr>
        <w:top w:val="none" w:sz="0" w:space="0" w:color="auto"/>
        <w:left w:val="none" w:sz="0" w:space="0" w:color="auto"/>
        <w:bottom w:val="none" w:sz="0" w:space="0" w:color="auto"/>
        <w:right w:val="none" w:sz="0" w:space="0" w:color="auto"/>
      </w:divBdr>
    </w:div>
    <w:div w:id="2012176817">
      <w:bodyDiv w:val="1"/>
      <w:marLeft w:val="0"/>
      <w:marRight w:val="0"/>
      <w:marTop w:val="0"/>
      <w:marBottom w:val="0"/>
      <w:divBdr>
        <w:top w:val="none" w:sz="0" w:space="0" w:color="auto"/>
        <w:left w:val="none" w:sz="0" w:space="0" w:color="auto"/>
        <w:bottom w:val="none" w:sz="0" w:space="0" w:color="auto"/>
        <w:right w:val="none" w:sz="0" w:space="0" w:color="auto"/>
      </w:divBdr>
    </w:div>
    <w:div w:id="2062824486">
      <w:bodyDiv w:val="1"/>
      <w:marLeft w:val="0"/>
      <w:marRight w:val="0"/>
      <w:marTop w:val="0"/>
      <w:marBottom w:val="0"/>
      <w:divBdr>
        <w:top w:val="none" w:sz="0" w:space="0" w:color="auto"/>
        <w:left w:val="none" w:sz="0" w:space="0" w:color="auto"/>
        <w:bottom w:val="none" w:sz="0" w:space="0" w:color="auto"/>
        <w:right w:val="none" w:sz="0" w:space="0" w:color="auto"/>
      </w:divBdr>
    </w:div>
    <w:div w:id="21153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E:\PRACOWNIA\Korbal%20Urszula\PARACETAMOL%20ARTYKU&#321;\PARACETAMOL%20statystyka%20Tox.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E:\PRACOWNIA\Korbal%20Urszula\PARACETAMOL%20ARTYKU&#321;\PARACETAMOL%20statystyka%20Tox.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E:\PRACOWNIA\Korbal%20Urszula\PARACETAMOL%20ARTYKU&#321;\PARACETAMOL%20statystyka%20Tox.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E:\PRACOWNIA\Korbal%20Urszula\PARACETAMOL%20ARTYKU&#321;\PARACETAMOL%20statystyka%20Tox.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E:\PRACOWNIA\Korbal%20Urszula\PARACETAMOL%20ARTYKU&#321;\PARACETAMOL%20statystyka%20Tox.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25.xml"/><Relationship Id="rId1" Type="http://schemas.microsoft.com/office/2011/relationships/chartStyle" Target="style25.xml"/></Relationships>
</file>

<file path=word/charts/_rels/chart3.xml.rels><?xml version="1.0" encoding="UTF-8" standalone="yes"?>
<Relationships xmlns="http://schemas.openxmlformats.org/package/2006/relationships"><Relationship Id="rId3" Type="http://schemas.openxmlformats.org/officeDocument/2006/relationships/oleObject" Target="file:///G:\PARACETAMOL%20statystyka%20Tox.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PRACOWNIA\Korbal%20Urszula\PARACETAMOL%20ARTYKU&#321;\PARACETAMOL%20statystyka%20Tox.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PARACETAMOL%20statystyka%20Tox.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PARACETAMOL%20statystyka%20Tox.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PRACOWNIA\Korbal%20Urszula\PARACETAMOL%20ARTYKU&#321;\PARACETAMOL%20statystyka%20Tox.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estlab\Desktop\PARACETAMOL%20ARTYKU&#321;\PARACETAMOL%20statystyka%20Tox.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Zbiorcze!$D$3</c:f>
              <c:strCache>
                <c:ptCount val="1"/>
                <c:pt idx="0">
                  <c:v>Ilość oznaczeń</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Zbiorcze!$E$2:$I$2</c:f>
              <c:numCache>
                <c:formatCode>General</c:formatCode>
                <c:ptCount val="5"/>
                <c:pt idx="0">
                  <c:v>2018</c:v>
                </c:pt>
                <c:pt idx="1">
                  <c:v>2019</c:v>
                </c:pt>
                <c:pt idx="2">
                  <c:v>2020</c:v>
                </c:pt>
                <c:pt idx="3">
                  <c:v>2021</c:v>
                </c:pt>
                <c:pt idx="4">
                  <c:v>2022</c:v>
                </c:pt>
              </c:numCache>
            </c:numRef>
          </c:cat>
          <c:val>
            <c:numRef>
              <c:f>Zbiorcze!$E$3:$I$3</c:f>
              <c:numCache>
                <c:formatCode>General</c:formatCode>
                <c:ptCount val="5"/>
                <c:pt idx="0">
                  <c:v>37</c:v>
                </c:pt>
                <c:pt idx="1">
                  <c:v>57</c:v>
                </c:pt>
                <c:pt idx="2">
                  <c:v>49</c:v>
                </c:pt>
                <c:pt idx="3">
                  <c:v>82</c:v>
                </c:pt>
                <c:pt idx="4">
                  <c:v>137</c:v>
                </c:pt>
              </c:numCache>
            </c:numRef>
          </c:val>
          <c:smooth val="0"/>
          <c:extLst>
            <c:ext xmlns:c16="http://schemas.microsoft.com/office/drawing/2014/chart" uri="{C3380CC4-5D6E-409C-BE32-E72D297353CC}">
              <c16:uniqueId val="{00000000-4EF5-492B-A27E-28D0D0910635}"/>
            </c:ext>
          </c:extLst>
        </c:ser>
        <c:dLbls>
          <c:showLegendKey val="0"/>
          <c:showVal val="0"/>
          <c:showCatName val="0"/>
          <c:showSerName val="0"/>
          <c:showPercent val="0"/>
          <c:showBubbleSize val="0"/>
        </c:dLbls>
        <c:marker val="1"/>
        <c:smooth val="0"/>
        <c:axId val="1114563071"/>
        <c:axId val="1114582751"/>
      </c:lineChart>
      <c:catAx>
        <c:axId val="1114563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114582751"/>
        <c:crosses val="autoZero"/>
        <c:auto val="1"/>
        <c:lblAlgn val="ctr"/>
        <c:lblOffset val="100"/>
        <c:noMultiLvlLbl val="0"/>
      </c:catAx>
      <c:valAx>
        <c:axId val="11145827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114563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cked"/>
        <c:varyColors val="0"/>
        <c:ser>
          <c:idx val="0"/>
          <c:order val="0"/>
          <c:tx>
            <c:strRef>
              <c:f>'2019'!$C$7</c:f>
              <c:strCache>
                <c:ptCount val="1"/>
                <c:pt idx="0">
                  <c:v>Ilość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'2019'!$D$6:$O$6</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'2019'!$D$7:$O$7</c:f>
              <c:numCache>
                <c:formatCode>General</c:formatCode>
                <c:ptCount val="12"/>
                <c:pt idx="0">
                  <c:v>7</c:v>
                </c:pt>
                <c:pt idx="1">
                  <c:v>6</c:v>
                </c:pt>
                <c:pt idx="2">
                  <c:v>5</c:v>
                </c:pt>
                <c:pt idx="3">
                  <c:v>3</c:v>
                </c:pt>
                <c:pt idx="4">
                  <c:v>1</c:v>
                </c:pt>
                <c:pt idx="5">
                  <c:v>7</c:v>
                </c:pt>
                <c:pt idx="6">
                  <c:v>3</c:v>
                </c:pt>
                <c:pt idx="7">
                  <c:v>6</c:v>
                </c:pt>
                <c:pt idx="8">
                  <c:v>6</c:v>
                </c:pt>
                <c:pt idx="9">
                  <c:v>7</c:v>
                </c:pt>
                <c:pt idx="10">
                  <c:v>4</c:v>
                </c:pt>
                <c:pt idx="11">
                  <c:v>2</c:v>
                </c:pt>
              </c:numCache>
            </c:numRef>
          </c:val>
          <c:smooth val="0"/>
          <c:extLst>
            <c:ext xmlns:c16="http://schemas.microsoft.com/office/drawing/2014/chart" uri="{C3380CC4-5D6E-409C-BE32-E72D297353CC}">
              <c16:uniqueId val="{00000000-C79B-4BF7-B229-BD4EB8CE3EC4}"/>
            </c:ext>
          </c:extLst>
        </c:ser>
        <c:dLbls>
          <c:showLegendKey val="0"/>
          <c:showVal val="0"/>
          <c:showCatName val="0"/>
          <c:showSerName val="0"/>
          <c:showPercent val="0"/>
          <c:showBubbleSize val="0"/>
        </c:dLbls>
        <c:marker val="1"/>
        <c:smooth val="0"/>
        <c:axId val="673298479"/>
        <c:axId val="673291759"/>
      </c:lineChart>
      <c:catAx>
        <c:axId val="673298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73291759"/>
        <c:crosses val="autoZero"/>
        <c:auto val="1"/>
        <c:lblAlgn val="ctr"/>
        <c:lblOffset val="100"/>
        <c:noMultiLvlLbl val="0"/>
      </c:catAx>
      <c:valAx>
        <c:axId val="673291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73298479"/>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dPt>
            <c:idx val="0"/>
            <c:bubble3D val="0"/>
            <c:spPr>
              <a:solidFill>
                <a:schemeClr val="accent3">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3FC-49F5-9149-3601190BD2D1}"/>
              </c:ext>
            </c:extLst>
          </c:dPt>
          <c:dPt>
            <c:idx val="1"/>
            <c:bubble3D val="0"/>
            <c:spPr>
              <a:solidFill>
                <a:schemeClr val="accent3">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3FC-49F5-9149-3601190BD2D1}"/>
              </c:ext>
            </c:extLst>
          </c:dPt>
          <c:dLbls>
            <c:dLbl>
              <c:idx val="0"/>
              <c:tx>
                <c:rich>
                  <a:bodyPr/>
                  <a:lstStyle/>
                  <a:p>
                    <a:fld id="{98E611E4-AE1D-4D6A-BA3C-A06366EED2A5}" type="PERCENTAGE">
                      <a:rPr lang="en-US"/>
                      <a:pPr/>
                      <a:t>[PROCENTOWE]</a:t>
                    </a:fld>
                    <a:r>
                      <a:rPr lang="en-US"/>
                      <a:t> (39)</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3FC-49F5-9149-3601190BD2D1}"/>
                </c:ext>
              </c:extLst>
            </c:dLbl>
            <c:dLbl>
              <c:idx val="1"/>
              <c:tx>
                <c:rich>
                  <a:bodyPr/>
                  <a:lstStyle/>
                  <a:p>
                    <a:fld id="{CFA5D9D1-D370-44DA-A0AE-478E59F3A275}" type="PERCENTAGE">
                      <a:rPr lang="en-US"/>
                      <a:pPr/>
                      <a:t>[PROCENTOWE]</a:t>
                    </a:fld>
                    <a:r>
                      <a:rPr lang="en-US"/>
                      <a:t> (18)</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3FC-49F5-9149-3601190BD2D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'2019'!$A$10:$B$10</c:f>
              <c:strCache>
                <c:ptCount val="2"/>
                <c:pt idx="0">
                  <c:v>♀</c:v>
                </c:pt>
                <c:pt idx="1">
                  <c:v>♂</c:v>
                </c:pt>
              </c:strCache>
            </c:strRef>
          </c:cat>
          <c:val>
            <c:numRef>
              <c:f>'2019'!$A$11:$B$11</c:f>
              <c:numCache>
                <c:formatCode>General</c:formatCode>
                <c:ptCount val="2"/>
                <c:pt idx="0">
                  <c:v>39</c:v>
                </c:pt>
                <c:pt idx="1">
                  <c:v>18</c:v>
                </c:pt>
              </c:numCache>
            </c:numRef>
          </c:val>
          <c:extLst>
            <c:ext xmlns:c16="http://schemas.microsoft.com/office/drawing/2014/chart" uri="{C3380CC4-5D6E-409C-BE32-E72D297353CC}">
              <c16:uniqueId val="{00000004-F3FC-49F5-9149-3601190BD2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'2019'!$B$16</c:f>
              <c:strCache>
                <c:ptCount val="1"/>
                <c:pt idx="0">
                  <c:v>Ilość oznaczeń</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'2019'!$A$17:$A$20</c:f>
              <c:strCache>
                <c:ptCount val="4"/>
                <c:pt idx="0">
                  <c:v>0-14 </c:v>
                </c:pt>
                <c:pt idx="1">
                  <c:v>15-30 </c:v>
                </c:pt>
                <c:pt idx="2">
                  <c:v>31-65 </c:v>
                </c:pt>
                <c:pt idx="3">
                  <c:v>&gt;65 </c:v>
                </c:pt>
              </c:strCache>
            </c:strRef>
          </c:cat>
          <c:val>
            <c:numRef>
              <c:f>'2019'!$B$17:$B$20</c:f>
              <c:numCache>
                <c:formatCode>General</c:formatCode>
                <c:ptCount val="4"/>
                <c:pt idx="0">
                  <c:v>18</c:v>
                </c:pt>
                <c:pt idx="1">
                  <c:v>27</c:v>
                </c:pt>
                <c:pt idx="2">
                  <c:v>10</c:v>
                </c:pt>
                <c:pt idx="3">
                  <c:v>2</c:v>
                </c:pt>
              </c:numCache>
            </c:numRef>
          </c:val>
          <c:extLst>
            <c:ext xmlns:c16="http://schemas.microsoft.com/office/drawing/2014/chart" uri="{C3380CC4-5D6E-409C-BE32-E72D297353CC}">
              <c16:uniqueId val="{00000000-D91C-4C24-BE78-703B389FFCD0}"/>
            </c:ext>
          </c:extLst>
        </c:ser>
        <c:dLbls>
          <c:showLegendKey val="0"/>
          <c:showVal val="0"/>
          <c:showCatName val="0"/>
          <c:showSerName val="0"/>
          <c:showPercent val="0"/>
          <c:showBubbleSize val="0"/>
        </c:dLbls>
        <c:gapWidth val="100"/>
        <c:overlap val="-24"/>
        <c:axId val="484874704"/>
        <c:axId val="484868464"/>
      </c:barChart>
      <c:catAx>
        <c:axId val="48487470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AGe</a:t>
                </a:r>
                <a:r>
                  <a:rPr lang="pl-PL" baseline="0"/>
                  <a:t> groups [years]</a:t>
                </a:r>
                <a:endParaRPr lang="pl-PL"/>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484868464"/>
        <c:crosses val="autoZero"/>
        <c:auto val="1"/>
        <c:lblAlgn val="ctr"/>
        <c:lblOffset val="100"/>
        <c:noMultiLvlLbl val="0"/>
      </c:catAx>
      <c:valAx>
        <c:axId val="484868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484874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'2019'!$B$24</c:f>
              <c:strCache>
                <c:ptCount val="1"/>
                <c:pt idx="0">
                  <c:v>Ilość wyników w przedziale</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'2019'!$A$25:$A$28</c:f>
              <c:strCache>
                <c:ptCount val="4"/>
                <c:pt idx="0">
                  <c:v>&lt;5 µg/ml</c:v>
                </c:pt>
                <c:pt idx="1">
                  <c:v>5-20 µg/ml</c:v>
                </c:pt>
                <c:pt idx="2">
                  <c:v>20-100 µg/ml</c:v>
                </c:pt>
                <c:pt idx="3">
                  <c:v>&gt;100 µg/ml</c:v>
                </c:pt>
              </c:strCache>
            </c:strRef>
          </c:cat>
          <c:val>
            <c:numRef>
              <c:f>'2019'!$B$25:$B$28</c:f>
              <c:numCache>
                <c:formatCode>General</c:formatCode>
                <c:ptCount val="4"/>
                <c:pt idx="0">
                  <c:v>16</c:v>
                </c:pt>
                <c:pt idx="1">
                  <c:v>12</c:v>
                </c:pt>
                <c:pt idx="2">
                  <c:v>22</c:v>
                </c:pt>
                <c:pt idx="3">
                  <c:v>7</c:v>
                </c:pt>
              </c:numCache>
            </c:numRef>
          </c:val>
          <c:extLst>
            <c:ext xmlns:c16="http://schemas.microsoft.com/office/drawing/2014/chart" uri="{C3380CC4-5D6E-409C-BE32-E72D297353CC}">
              <c16:uniqueId val="{00000000-426F-49DD-9555-A66A3C5B0256}"/>
            </c:ext>
          </c:extLst>
        </c:ser>
        <c:dLbls>
          <c:showLegendKey val="0"/>
          <c:showVal val="0"/>
          <c:showCatName val="0"/>
          <c:showSerName val="0"/>
          <c:showPercent val="0"/>
          <c:showBubbleSize val="0"/>
        </c:dLbls>
        <c:gapWidth val="100"/>
        <c:overlap val="-24"/>
        <c:axId val="484867504"/>
        <c:axId val="484867984"/>
      </c:barChart>
      <c:catAx>
        <c:axId val="48486750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concentration</a:t>
                </a:r>
                <a:r>
                  <a:rPr lang="pl-PL" baseline="0"/>
                  <a:t> ranges</a:t>
                </a:r>
                <a:endParaRPr lang="pl-PL"/>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484867984"/>
        <c:crosses val="autoZero"/>
        <c:auto val="1"/>
        <c:lblAlgn val="ctr"/>
        <c:lblOffset val="100"/>
        <c:noMultiLvlLbl val="0"/>
      </c:catAx>
      <c:valAx>
        <c:axId val="484867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484867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cked"/>
        <c:varyColors val="0"/>
        <c:ser>
          <c:idx val="0"/>
          <c:order val="0"/>
          <c:tx>
            <c:strRef>
              <c:f>'2020'!$C$7</c:f>
              <c:strCache>
                <c:ptCount val="1"/>
                <c:pt idx="0">
                  <c:v>Ilość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'2020'!$D$6:$O$6</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'2020'!$D$7:$O$7</c:f>
              <c:numCache>
                <c:formatCode>General</c:formatCode>
                <c:ptCount val="12"/>
                <c:pt idx="0">
                  <c:v>1</c:v>
                </c:pt>
                <c:pt idx="1">
                  <c:v>5</c:v>
                </c:pt>
                <c:pt idx="2">
                  <c:v>3</c:v>
                </c:pt>
                <c:pt idx="3">
                  <c:v>5</c:v>
                </c:pt>
                <c:pt idx="4">
                  <c:v>4</c:v>
                </c:pt>
                <c:pt idx="5">
                  <c:v>5</c:v>
                </c:pt>
                <c:pt idx="6">
                  <c:v>1</c:v>
                </c:pt>
                <c:pt idx="7">
                  <c:v>0</c:v>
                </c:pt>
                <c:pt idx="8">
                  <c:v>9</c:v>
                </c:pt>
                <c:pt idx="9">
                  <c:v>2</c:v>
                </c:pt>
                <c:pt idx="10">
                  <c:v>5</c:v>
                </c:pt>
                <c:pt idx="11">
                  <c:v>9</c:v>
                </c:pt>
              </c:numCache>
            </c:numRef>
          </c:val>
          <c:smooth val="0"/>
          <c:extLst>
            <c:ext xmlns:c16="http://schemas.microsoft.com/office/drawing/2014/chart" uri="{C3380CC4-5D6E-409C-BE32-E72D297353CC}">
              <c16:uniqueId val="{00000000-0765-44B6-95F8-AA110E33DAAF}"/>
            </c:ext>
          </c:extLst>
        </c:ser>
        <c:dLbls>
          <c:showLegendKey val="0"/>
          <c:showVal val="0"/>
          <c:showCatName val="0"/>
          <c:showSerName val="0"/>
          <c:showPercent val="0"/>
          <c:showBubbleSize val="0"/>
        </c:dLbls>
        <c:marker val="1"/>
        <c:smooth val="0"/>
        <c:axId val="773576991"/>
        <c:axId val="773539551"/>
      </c:lineChart>
      <c:catAx>
        <c:axId val="7735769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73539551"/>
        <c:crosses val="autoZero"/>
        <c:auto val="1"/>
        <c:lblAlgn val="ctr"/>
        <c:lblOffset val="100"/>
        <c:noMultiLvlLbl val="0"/>
      </c:catAx>
      <c:valAx>
        <c:axId val="7735395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73576991"/>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dPt>
            <c:idx val="0"/>
            <c:bubble3D val="0"/>
            <c:spPr>
              <a:solidFill>
                <a:schemeClr val="accent3">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91A-42C9-AC58-1E762E909701}"/>
              </c:ext>
            </c:extLst>
          </c:dPt>
          <c:dPt>
            <c:idx val="1"/>
            <c:bubble3D val="0"/>
            <c:spPr>
              <a:solidFill>
                <a:schemeClr val="accent3">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91A-42C9-AC58-1E762E909701}"/>
              </c:ext>
            </c:extLst>
          </c:dPt>
          <c:dLbls>
            <c:dLbl>
              <c:idx val="0"/>
              <c:tx>
                <c:rich>
                  <a:bodyPr/>
                  <a:lstStyle/>
                  <a:p>
                    <a:fld id="{95216197-9058-4000-BD22-17E5BF94F656}" type="PERCENTAGE">
                      <a:rPr lang="en-US"/>
                      <a:pPr/>
                      <a:t>[PROCENTOWE]</a:t>
                    </a:fld>
                    <a:r>
                      <a:rPr lang="en-US"/>
                      <a:t> (31)</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91A-42C9-AC58-1E762E909701}"/>
                </c:ext>
              </c:extLst>
            </c:dLbl>
            <c:dLbl>
              <c:idx val="1"/>
              <c:tx>
                <c:rich>
                  <a:bodyPr/>
                  <a:lstStyle/>
                  <a:p>
                    <a:fld id="{D8EB4AAA-3172-47A6-8F43-7CFE9AC53594}" type="PERCENTAGE">
                      <a:rPr lang="en-US"/>
                      <a:pPr/>
                      <a:t>[PROCENTOWE]</a:t>
                    </a:fld>
                    <a:r>
                      <a:rPr lang="en-US"/>
                      <a:t> (18)</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91A-42C9-AC58-1E762E90970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'2020'!$A$10:$B$10</c:f>
              <c:strCache>
                <c:ptCount val="2"/>
                <c:pt idx="0">
                  <c:v>♀</c:v>
                </c:pt>
                <c:pt idx="1">
                  <c:v>♂</c:v>
                </c:pt>
              </c:strCache>
            </c:strRef>
          </c:cat>
          <c:val>
            <c:numRef>
              <c:f>'2020'!$A$11:$B$11</c:f>
              <c:numCache>
                <c:formatCode>General</c:formatCode>
                <c:ptCount val="2"/>
                <c:pt idx="0">
                  <c:v>31</c:v>
                </c:pt>
                <c:pt idx="1">
                  <c:v>18</c:v>
                </c:pt>
              </c:numCache>
            </c:numRef>
          </c:val>
          <c:extLst>
            <c:ext xmlns:c16="http://schemas.microsoft.com/office/drawing/2014/chart" uri="{C3380CC4-5D6E-409C-BE32-E72D297353CC}">
              <c16:uniqueId val="{00000004-B91A-42C9-AC58-1E762E90970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'2020'!$B$16</c:f>
              <c:strCache>
                <c:ptCount val="1"/>
                <c:pt idx="0">
                  <c:v>Ilość oznaczeń</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'2020'!$A$17:$A$20</c:f>
              <c:strCache>
                <c:ptCount val="4"/>
                <c:pt idx="0">
                  <c:v>0-14 </c:v>
                </c:pt>
                <c:pt idx="1">
                  <c:v>15-30 </c:v>
                </c:pt>
                <c:pt idx="2">
                  <c:v>31-65 </c:v>
                </c:pt>
                <c:pt idx="3">
                  <c:v>&gt;65 </c:v>
                </c:pt>
              </c:strCache>
            </c:strRef>
          </c:cat>
          <c:val>
            <c:numRef>
              <c:f>'2020'!$B$17:$B$20</c:f>
              <c:numCache>
                <c:formatCode>General</c:formatCode>
                <c:ptCount val="4"/>
                <c:pt idx="0">
                  <c:v>14</c:v>
                </c:pt>
                <c:pt idx="1">
                  <c:v>23</c:v>
                </c:pt>
                <c:pt idx="2">
                  <c:v>11</c:v>
                </c:pt>
                <c:pt idx="3">
                  <c:v>1</c:v>
                </c:pt>
              </c:numCache>
            </c:numRef>
          </c:val>
          <c:extLst>
            <c:ext xmlns:c16="http://schemas.microsoft.com/office/drawing/2014/chart" uri="{C3380CC4-5D6E-409C-BE32-E72D297353CC}">
              <c16:uniqueId val="{00000000-27D7-4D79-BED6-3066CF513D43}"/>
            </c:ext>
          </c:extLst>
        </c:ser>
        <c:dLbls>
          <c:showLegendKey val="0"/>
          <c:showVal val="0"/>
          <c:showCatName val="0"/>
          <c:showSerName val="0"/>
          <c:showPercent val="0"/>
          <c:showBubbleSize val="0"/>
        </c:dLbls>
        <c:gapWidth val="100"/>
        <c:overlap val="-24"/>
        <c:axId val="140858752"/>
        <c:axId val="140860672"/>
      </c:barChart>
      <c:catAx>
        <c:axId val="14085875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age</a:t>
                </a:r>
                <a:r>
                  <a:rPr lang="pl-PL" baseline="0"/>
                  <a:t> groups [years]</a:t>
                </a:r>
                <a:endParaRPr lang="pl-PL"/>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140860672"/>
        <c:crosses val="autoZero"/>
        <c:auto val="1"/>
        <c:lblAlgn val="ctr"/>
        <c:lblOffset val="100"/>
        <c:noMultiLvlLbl val="0"/>
      </c:catAx>
      <c:valAx>
        <c:axId val="140860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1408587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'2020'!$B$24</c:f>
              <c:strCache>
                <c:ptCount val="1"/>
                <c:pt idx="0">
                  <c:v>Ilość wyników w przedziale</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'2020'!$A$25:$A$28</c:f>
              <c:strCache>
                <c:ptCount val="4"/>
                <c:pt idx="0">
                  <c:v>&lt;5 µg/ml</c:v>
                </c:pt>
                <c:pt idx="1">
                  <c:v>5-20 µg/ml</c:v>
                </c:pt>
                <c:pt idx="2">
                  <c:v>20-100 µg/ml</c:v>
                </c:pt>
                <c:pt idx="3">
                  <c:v>&gt;100 µg/ml</c:v>
                </c:pt>
              </c:strCache>
            </c:strRef>
          </c:cat>
          <c:val>
            <c:numRef>
              <c:f>'2020'!$B$25:$B$28</c:f>
              <c:numCache>
                <c:formatCode>General</c:formatCode>
                <c:ptCount val="4"/>
                <c:pt idx="0">
                  <c:v>17</c:v>
                </c:pt>
                <c:pt idx="1">
                  <c:v>9</c:v>
                </c:pt>
                <c:pt idx="2">
                  <c:v>20</c:v>
                </c:pt>
                <c:pt idx="3">
                  <c:v>5</c:v>
                </c:pt>
              </c:numCache>
            </c:numRef>
          </c:val>
          <c:extLst>
            <c:ext xmlns:c16="http://schemas.microsoft.com/office/drawing/2014/chart" uri="{C3380CC4-5D6E-409C-BE32-E72D297353CC}">
              <c16:uniqueId val="{00000000-B4B3-4A8F-A17B-4CB2BE4951D9}"/>
            </c:ext>
          </c:extLst>
        </c:ser>
        <c:dLbls>
          <c:showLegendKey val="0"/>
          <c:showVal val="0"/>
          <c:showCatName val="0"/>
          <c:showSerName val="0"/>
          <c:showPercent val="0"/>
          <c:showBubbleSize val="0"/>
        </c:dLbls>
        <c:gapWidth val="100"/>
        <c:overlap val="-24"/>
        <c:axId val="309213696"/>
        <c:axId val="298651088"/>
      </c:barChart>
      <c:catAx>
        <c:axId val="30921369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concentration</a:t>
                </a:r>
                <a:r>
                  <a:rPr lang="pl-PL" baseline="0"/>
                  <a:t> ranges</a:t>
                </a:r>
                <a:endParaRPr lang="pl-PL"/>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298651088"/>
        <c:crosses val="autoZero"/>
        <c:auto val="1"/>
        <c:lblAlgn val="ctr"/>
        <c:lblOffset val="100"/>
        <c:noMultiLvlLbl val="0"/>
      </c:catAx>
      <c:valAx>
        <c:axId val="298651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sz="900" b="0" i="0" u="none" strike="noStrike" kern="1200" baseline="0">
                    <a:solidFill>
                      <a:sysClr val="windowText" lastClr="000000">
                        <a:lumMod val="65000"/>
                        <a:lumOff val="35000"/>
                      </a:sysClr>
                    </a:solidFill>
                  </a:rPr>
                  <a:t>Number of tests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309213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'2021'!$C$7</c:f>
              <c:strCache>
                <c:ptCount val="1"/>
                <c:pt idx="0">
                  <c:v>Ilość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'2021'!$D$6:$O$6</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'2021'!$D$7:$O$7</c:f>
              <c:numCache>
                <c:formatCode>General</c:formatCode>
                <c:ptCount val="12"/>
                <c:pt idx="0">
                  <c:v>8</c:v>
                </c:pt>
                <c:pt idx="1">
                  <c:v>4</c:v>
                </c:pt>
                <c:pt idx="2">
                  <c:v>6</c:v>
                </c:pt>
                <c:pt idx="3">
                  <c:v>8</c:v>
                </c:pt>
                <c:pt idx="4">
                  <c:v>6</c:v>
                </c:pt>
                <c:pt idx="5">
                  <c:v>8</c:v>
                </c:pt>
                <c:pt idx="6">
                  <c:v>5</c:v>
                </c:pt>
                <c:pt idx="7">
                  <c:v>9</c:v>
                </c:pt>
                <c:pt idx="8">
                  <c:v>4</c:v>
                </c:pt>
                <c:pt idx="9">
                  <c:v>13</c:v>
                </c:pt>
                <c:pt idx="10">
                  <c:v>6</c:v>
                </c:pt>
                <c:pt idx="11">
                  <c:v>5</c:v>
                </c:pt>
              </c:numCache>
            </c:numRef>
          </c:val>
          <c:smooth val="0"/>
          <c:extLst>
            <c:ext xmlns:c16="http://schemas.microsoft.com/office/drawing/2014/chart" uri="{C3380CC4-5D6E-409C-BE32-E72D297353CC}">
              <c16:uniqueId val="{00000000-7C62-4282-B7D3-3BA682859F1C}"/>
            </c:ext>
          </c:extLst>
        </c:ser>
        <c:dLbls>
          <c:showLegendKey val="0"/>
          <c:showVal val="0"/>
          <c:showCatName val="0"/>
          <c:showSerName val="0"/>
          <c:showPercent val="0"/>
          <c:showBubbleSize val="0"/>
        </c:dLbls>
        <c:marker val="1"/>
        <c:smooth val="0"/>
        <c:axId val="773579871"/>
        <c:axId val="773572671"/>
      </c:lineChart>
      <c:catAx>
        <c:axId val="773579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73572671"/>
        <c:crosses val="autoZero"/>
        <c:auto val="1"/>
        <c:lblAlgn val="ctr"/>
        <c:lblOffset val="100"/>
        <c:noMultiLvlLbl val="0"/>
      </c:catAx>
      <c:valAx>
        <c:axId val="773572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sz="1000" b="0" i="0" u="none" strike="noStrike" kern="1200" baseline="0">
                    <a:solidFill>
                      <a:sysClr val="windowText" lastClr="000000">
                        <a:lumMod val="65000"/>
                        <a:lumOff val="35000"/>
                      </a:sysClr>
                    </a:solidFill>
                  </a:rPr>
                  <a:t>Number of tests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73579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dPt>
            <c:idx val="0"/>
            <c:bubble3D val="0"/>
            <c:spPr>
              <a:solidFill>
                <a:schemeClr val="accent3">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5D8-45B5-BD24-4199C57325F5}"/>
              </c:ext>
            </c:extLst>
          </c:dPt>
          <c:dPt>
            <c:idx val="1"/>
            <c:bubble3D val="0"/>
            <c:spPr>
              <a:solidFill>
                <a:schemeClr val="accent3">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5D8-45B5-BD24-4199C57325F5}"/>
              </c:ext>
            </c:extLst>
          </c:dPt>
          <c:dLbls>
            <c:dLbl>
              <c:idx val="0"/>
              <c:tx>
                <c:rich>
                  <a:bodyPr/>
                  <a:lstStyle/>
                  <a:p>
                    <a:fld id="{567EE1B6-294F-4411-B033-D3ECA921827A}" type="PERCENTAGE">
                      <a:rPr lang="en-US"/>
                      <a:pPr/>
                      <a:t>[PROCENTOWE]</a:t>
                    </a:fld>
                    <a:r>
                      <a:rPr lang="en-US"/>
                      <a:t> (63)</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5D8-45B5-BD24-4199C57325F5}"/>
                </c:ext>
              </c:extLst>
            </c:dLbl>
            <c:dLbl>
              <c:idx val="1"/>
              <c:tx>
                <c:rich>
                  <a:bodyPr/>
                  <a:lstStyle/>
                  <a:p>
                    <a:fld id="{870405FD-3943-401B-B8A7-AFD670DFAC4C}" type="PERCENTAGE">
                      <a:rPr lang="en-US"/>
                      <a:pPr/>
                      <a:t>[PROCENTOWE]</a:t>
                    </a:fld>
                    <a:r>
                      <a:rPr lang="en-US"/>
                      <a:t> (19)</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5D8-45B5-BD24-4199C57325F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'2021'!$A$10:$B$10</c:f>
              <c:strCache>
                <c:ptCount val="2"/>
                <c:pt idx="0">
                  <c:v>♀</c:v>
                </c:pt>
                <c:pt idx="1">
                  <c:v>♂</c:v>
                </c:pt>
              </c:strCache>
            </c:strRef>
          </c:cat>
          <c:val>
            <c:numRef>
              <c:f>'2021'!$A$11:$B$11</c:f>
              <c:numCache>
                <c:formatCode>General</c:formatCode>
                <c:ptCount val="2"/>
                <c:pt idx="0">
                  <c:v>63</c:v>
                </c:pt>
                <c:pt idx="1">
                  <c:v>19</c:v>
                </c:pt>
              </c:numCache>
            </c:numRef>
          </c:val>
          <c:extLst>
            <c:ext xmlns:c16="http://schemas.microsoft.com/office/drawing/2014/chart" uri="{C3380CC4-5D6E-409C-BE32-E72D297353CC}">
              <c16:uniqueId val="{00000004-D5D8-45B5-BD24-4199C57325F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cked"/>
        <c:varyColors val="0"/>
        <c:ser>
          <c:idx val="0"/>
          <c:order val="0"/>
          <c:tx>
            <c:strRef>
              <c:f>Zbiorcze!$C$7</c:f>
              <c:strCache>
                <c:ptCount val="1"/>
                <c:pt idx="0">
                  <c:v>Ilość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Zbiorcze!$D$6:$O$6</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Zbiorcze!$D$7:$O$7</c:f>
              <c:numCache>
                <c:formatCode>General</c:formatCode>
                <c:ptCount val="12"/>
                <c:pt idx="0">
                  <c:v>29</c:v>
                </c:pt>
                <c:pt idx="1">
                  <c:v>26</c:v>
                </c:pt>
                <c:pt idx="2">
                  <c:v>36</c:v>
                </c:pt>
                <c:pt idx="3">
                  <c:v>25</c:v>
                </c:pt>
                <c:pt idx="4">
                  <c:v>23</c:v>
                </c:pt>
                <c:pt idx="5">
                  <c:v>35</c:v>
                </c:pt>
                <c:pt idx="6">
                  <c:v>11</c:v>
                </c:pt>
                <c:pt idx="7">
                  <c:v>29</c:v>
                </c:pt>
                <c:pt idx="8">
                  <c:v>39</c:v>
                </c:pt>
                <c:pt idx="9">
                  <c:v>44</c:v>
                </c:pt>
                <c:pt idx="10">
                  <c:v>33</c:v>
                </c:pt>
                <c:pt idx="11">
                  <c:v>33</c:v>
                </c:pt>
              </c:numCache>
            </c:numRef>
          </c:val>
          <c:smooth val="0"/>
          <c:extLst>
            <c:ext xmlns:c16="http://schemas.microsoft.com/office/drawing/2014/chart" uri="{C3380CC4-5D6E-409C-BE32-E72D297353CC}">
              <c16:uniqueId val="{00000000-D262-40D4-B4A4-238618F31DF0}"/>
            </c:ext>
          </c:extLst>
        </c:ser>
        <c:dLbls>
          <c:showLegendKey val="0"/>
          <c:showVal val="0"/>
          <c:showCatName val="0"/>
          <c:showSerName val="0"/>
          <c:showPercent val="0"/>
          <c:showBubbleSize val="0"/>
        </c:dLbls>
        <c:marker val="1"/>
        <c:smooth val="0"/>
        <c:axId val="861515487"/>
        <c:axId val="861515967"/>
      </c:lineChart>
      <c:catAx>
        <c:axId val="8615154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1515967"/>
        <c:crosses val="autoZero"/>
        <c:auto val="1"/>
        <c:lblAlgn val="ctr"/>
        <c:lblOffset val="100"/>
        <c:noMultiLvlLbl val="0"/>
      </c:catAx>
      <c:valAx>
        <c:axId val="861515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 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1515487"/>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'2021'!$B$16</c:f>
              <c:strCache>
                <c:ptCount val="1"/>
                <c:pt idx="0">
                  <c:v>Ilość oznaczeń</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'2021'!$A$17:$A$20</c:f>
              <c:strCache>
                <c:ptCount val="4"/>
                <c:pt idx="0">
                  <c:v>0-14 </c:v>
                </c:pt>
                <c:pt idx="1">
                  <c:v>15-30 </c:v>
                </c:pt>
                <c:pt idx="2">
                  <c:v>31-65 </c:v>
                </c:pt>
                <c:pt idx="3">
                  <c:v>&gt;65 </c:v>
                </c:pt>
              </c:strCache>
            </c:strRef>
          </c:cat>
          <c:val>
            <c:numRef>
              <c:f>'2021'!$B$17:$B$20</c:f>
              <c:numCache>
                <c:formatCode>General</c:formatCode>
                <c:ptCount val="4"/>
                <c:pt idx="0">
                  <c:v>25</c:v>
                </c:pt>
                <c:pt idx="1">
                  <c:v>47</c:v>
                </c:pt>
                <c:pt idx="2">
                  <c:v>7</c:v>
                </c:pt>
                <c:pt idx="3">
                  <c:v>3</c:v>
                </c:pt>
              </c:numCache>
            </c:numRef>
          </c:val>
          <c:extLst>
            <c:ext xmlns:c16="http://schemas.microsoft.com/office/drawing/2014/chart" uri="{C3380CC4-5D6E-409C-BE32-E72D297353CC}">
              <c16:uniqueId val="{00000000-D8D9-4B82-8E64-DD0BC586FB56}"/>
            </c:ext>
          </c:extLst>
        </c:ser>
        <c:dLbls>
          <c:showLegendKey val="0"/>
          <c:showVal val="0"/>
          <c:showCatName val="0"/>
          <c:showSerName val="0"/>
          <c:showPercent val="0"/>
          <c:showBubbleSize val="0"/>
        </c:dLbls>
        <c:gapWidth val="100"/>
        <c:overlap val="-24"/>
        <c:axId val="691905088"/>
        <c:axId val="691894048"/>
      </c:barChart>
      <c:catAx>
        <c:axId val="69190508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age</a:t>
                </a:r>
                <a:r>
                  <a:rPr lang="pl-PL" baseline="0"/>
                  <a:t> groups [years]</a:t>
                </a:r>
                <a:endParaRPr lang="pl-PL"/>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691894048"/>
        <c:crosses val="autoZero"/>
        <c:auto val="1"/>
        <c:lblAlgn val="ctr"/>
        <c:lblOffset val="100"/>
        <c:noMultiLvlLbl val="0"/>
      </c:catAx>
      <c:valAx>
        <c:axId val="69189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691905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'2021'!$B$24</c:f>
              <c:strCache>
                <c:ptCount val="1"/>
                <c:pt idx="0">
                  <c:v>Ilość wyników w przedziale</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'2021'!$A$25:$A$28</c:f>
              <c:strCache>
                <c:ptCount val="4"/>
                <c:pt idx="0">
                  <c:v>&lt;5 µg/ml</c:v>
                </c:pt>
                <c:pt idx="1">
                  <c:v>5-20 µg/ml</c:v>
                </c:pt>
                <c:pt idx="2">
                  <c:v>20-100 µg/ml</c:v>
                </c:pt>
                <c:pt idx="3">
                  <c:v>&gt;100 µg/ml</c:v>
                </c:pt>
              </c:strCache>
            </c:strRef>
          </c:cat>
          <c:val>
            <c:numRef>
              <c:f>'2021'!$B$25:$B$28</c:f>
              <c:numCache>
                <c:formatCode>General</c:formatCode>
                <c:ptCount val="4"/>
                <c:pt idx="0">
                  <c:v>20</c:v>
                </c:pt>
                <c:pt idx="1">
                  <c:v>17</c:v>
                </c:pt>
                <c:pt idx="2">
                  <c:v>26</c:v>
                </c:pt>
                <c:pt idx="3">
                  <c:v>19</c:v>
                </c:pt>
              </c:numCache>
            </c:numRef>
          </c:val>
          <c:extLst>
            <c:ext xmlns:c16="http://schemas.microsoft.com/office/drawing/2014/chart" uri="{C3380CC4-5D6E-409C-BE32-E72D297353CC}">
              <c16:uniqueId val="{00000000-12A8-4106-8D7B-9C8C0E82550B}"/>
            </c:ext>
          </c:extLst>
        </c:ser>
        <c:dLbls>
          <c:showLegendKey val="0"/>
          <c:showVal val="0"/>
          <c:showCatName val="0"/>
          <c:showSerName val="0"/>
          <c:showPercent val="0"/>
          <c:showBubbleSize val="0"/>
        </c:dLbls>
        <c:gapWidth val="100"/>
        <c:overlap val="-24"/>
        <c:axId val="691878688"/>
        <c:axId val="691897888"/>
      </c:barChart>
      <c:catAx>
        <c:axId val="69187868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concentration ranges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691897888"/>
        <c:crosses val="autoZero"/>
        <c:auto val="1"/>
        <c:lblAlgn val="ctr"/>
        <c:lblOffset val="100"/>
        <c:noMultiLvlLbl val="0"/>
      </c:catAx>
      <c:valAx>
        <c:axId val="69189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sz="900" b="0" i="0" u="none" strike="noStrike" kern="1200" baseline="0">
                    <a:solidFill>
                      <a:sysClr val="windowText" lastClr="000000">
                        <a:lumMod val="65000"/>
                        <a:lumOff val="35000"/>
                      </a:sysClr>
                    </a:solidFill>
                  </a:rPr>
                  <a:t>Number of tests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691878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'2022'!$C$7</c:f>
              <c:strCache>
                <c:ptCount val="1"/>
                <c:pt idx="0">
                  <c:v>Ilość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'2022'!$D$6:$O$6</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'2022'!$D$7:$O$7</c:f>
              <c:numCache>
                <c:formatCode>General</c:formatCode>
                <c:ptCount val="12"/>
                <c:pt idx="0">
                  <c:v>12</c:v>
                </c:pt>
                <c:pt idx="1">
                  <c:v>9</c:v>
                </c:pt>
                <c:pt idx="2">
                  <c:v>19</c:v>
                </c:pt>
                <c:pt idx="3">
                  <c:v>7</c:v>
                </c:pt>
                <c:pt idx="4">
                  <c:v>10</c:v>
                </c:pt>
                <c:pt idx="5">
                  <c:v>13</c:v>
                </c:pt>
                <c:pt idx="6">
                  <c:v>2</c:v>
                </c:pt>
                <c:pt idx="7">
                  <c:v>12</c:v>
                </c:pt>
                <c:pt idx="8">
                  <c:v>12</c:v>
                </c:pt>
                <c:pt idx="9">
                  <c:v>18</c:v>
                </c:pt>
                <c:pt idx="10">
                  <c:v>10</c:v>
                </c:pt>
                <c:pt idx="11">
                  <c:v>13</c:v>
                </c:pt>
              </c:numCache>
            </c:numRef>
          </c:val>
          <c:smooth val="0"/>
          <c:extLst>
            <c:ext xmlns:c16="http://schemas.microsoft.com/office/drawing/2014/chart" uri="{C3380CC4-5D6E-409C-BE32-E72D297353CC}">
              <c16:uniqueId val="{00000000-3FB9-4A4D-940A-867AC4C68920}"/>
            </c:ext>
          </c:extLst>
        </c:ser>
        <c:dLbls>
          <c:showLegendKey val="0"/>
          <c:showVal val="0"/>
          <c:showCatName val="0"/>
          <c:showSerName val="0"/>
          <c:showPercent val="0"/>
          <c:showBubbleSize val="0"/>
        </c:dLbls>
        <c:marker val="1"/>
        <c:smooth val="0"/>
        <c:axId val="773567391"/>
        <c:axId val="773546271"/>
      </c:lineChart>
      <c:catAx>
        <c:axId val="7735673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73546271"/>
        <c:crosses val="autoZero"/>
        <c:auto val="1"/>
        <c:lblAlgn val="ctr"/>
        <c:lblOffset val="100"/>
        <c:noMultiLvlLbl val="0"/>
      </c:catAx>
      <c:valAx>
        <c:axId val="773546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sz="1000" b="0" i="0" u="none" strike="noStrike" kern="1200" baseline="0">
                    <a:solidFill>
                      <a:sysClr val="windowText" lastClr="000000">
                        <a:lumMod val="65000"/>
                        <a:lumOff val="35000"/>
                      </a:sysClr>
                    </a:solidFill>
                  </a:rPr>
                  <a:t>Number of tests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73567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dPt>
            <c:idx val="0"/>
            <c:bubble3D val="0"/>
            <c:spPr>
              <a:solidFill>
                <a:schemeClr val="accent3">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490-4D86-B895-196FE6751E08}"/>
              </c:ext>
            </c:extLst>
          </c:dPt>
          <c:dPt>
            <c:idx val="1"/>
            <c:bubble3D val="0"/>
            <c:spPr>
              <a:solidFill>
                <a:schemeClr val="accent3">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490-4D86-B895-196FE6751E08}"/>
              </c:ext>
            </c:extLst>
          </c:dPt>
          <c:dLbls>
            <c:dLbl>
              <c:idx val="0"/>
              <c:tx>
                <c:rich>
                  <a:bodyPr/>
                  <a:lstStyle/>
                  <a:p>
                    <a:fld id="{BBC936E4-7815-430C-9057-A442D3BF98F3}" type="PERCENTAGE">
                      <a:rPr lang="en-US"/>
                      <a:pPr/>
                      <a:t>[PROCENTOWE]</a:t>
                    </a:fld>
                    <a:r>
                      <a:rPr lang="en-US"/>
                      <a:t> (96)</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490-4D86-B895-196FE6751E08}"/>
                </c:ext>
              </c:extLst>
            </c:dLbl>
            <c:dLbl>
              <c:idx val="1"/>
              <c:tx>
                <c:rich>
                  <a:bodyPr/>
                  <a:lstStyle/>
                  <a:p>
                    <a:fld id="{73AE0C82-CC49-43B5-A8E9-2E0D3EFA1CF9}" type="PERCENTAGE">
                      <a:rPr lang="en-US"/>
                      <a:pPr/>
                      <a:t>[PROCENTOWE]</a:t>
                    </a:fld>
                    <a:r>
                      <a:rPr lang="en-US"/>
                      <a:t> (41)</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490-4D86-B895-196FE6751E0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'2022'!$A$10:$B$10</c:f>
              <c:strCache>
                <c:ptCount val="2"/>
                <c:pt idx="0">
                  <c:v>♀</c:v>
                </c:pt>
                <c:pt idx="1">
                  <c:v>♂</c:v>
                </c:pt>
              </c:strCache>
            </c:strRef>
          </c:cat>
          <c:val>
            <c:numRef>
              <c:f>'2022'!$A$11:$B$11</c:f>
              <c:numCache>
                <c:formatCode>General</c:formatCode>
                <c:ptCount val="2"/>
                <c:pt idx="0">
                  <c:v>96</c:v>
                </c:pt>
                <c:pt idx="1">
                  <c:v>41</c:v>
                </c:pt>
              </c:numCache>
            </c:numRef>
          </c:val>
          <c:extLst>
            <c:ext xmlns:c16="http://schemas.microsoft.com/office/drawing/2014/chart" uri="{C3380CC4-5D6E-409C-BE32-E72D297353CC}">
              <c16:uniqueId val="{00000004-E490-4D86-B895-196FE6751E0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'2022'!$B$16</c:f>
              <c:strCache>
                <c:ptCount val="1"/>
                <c:pt idx="0">
                  <c:v>Ilość oznaczeń</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'2022'!$A$17:$A$20</c:f>
              <c:strCache>
                <c:ptCount val="4"/>
                <c:pt idx="0">
                  <c:v>0-14 </c:v>
                </c:pt>
                <c:pt idx="1">
                  <c:v>15-30</c:v>
                </c:pt>
                <c:pt idx="2">
                  <c:v>31-65 </c:v>
                </c:pt>
                <c:pt idx="3">
                  <c:v>&gt;65 </c:v>
                </c:pt>
              </c:strCache>
            </c:strRef>
          </c:cat>
          <c:val>
            <c:numRef>
              <c:f>'2022'!$B$17:$B$20</c:f>
              <c:numCache>
                <c:formatCode>General</c:formatCode>
                <c:ptCount val="4"/>
                <c:pt idx="0">
                  <c:v>37</c:v>
                </c:pt>
                <c:pt idx="1">
                  <c:v>65</c:v>
                </c:pt>
                <c:pt idx="2">
                  <c:v>32</c:v>
                </c:pt>
                <c:pt idx="3">
                  <c:v>3</c:v>
                </c:pt>
              </c:numCache>
            </c:numRef>
          </c:val>
          <c:extLst>
            <c:ext xmlns:c16="http://schemas.microsoft.com/office/drawing/2014/chart" uri="{C3380CC4-5D6E-409C-BE32-E72D297353CC}">
              <c16:uniqueId val="{00000000-6A75-4D22-9E5C-5115F4CD23F8}"/>
            </c:ext>
          </c:extLst>
        </c:ser>
        <c:dLbls>
          <c:showLegendKey val="0"/>
          <c:showVal val="0"/>
          <c:showCatName val="0"/>
          <c:showSerName val="0"/>
          <c:showPercent val="0"/>
          <c:showBubbleSize val="0"/>
        </c:dLbls>
        <c:gapWidth val="100"/>
        <c:overlap val="-24"/>
        <c:axId val="309322560"/>
        <c:axId val="309320160"/>
      </c:barChart>
      <c:catAx>
        <c:axId val="30932256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age</a:t>
                </a:r>
                <a:r>
                  <a:rPr lang="pl-PL" baseline="0"/>
                  <a:t> groups [years]</a:t>
                </a:r>
                <a:endParaRPr lang="pl-PL"/>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309320160"/>
        <c:crosses val="autoZero"/>
        <c:auto val="1"/>
        <c:lblAlgn val="ctr"/>
        <c:lblOffset val="100"/>
        <c:noMultiLvlLbl val="0"/>
      </c:catAx>
      <c:valAx>
        <c:axId val="309320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309322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'2022'!$B$24</c:f>
              <c:strCache>
                <c:ptCount val="1"/>
                <c:pt idx="0">
                  <c:v>Ilość wyników w przedziale</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'2022'!$A$25:$A$28</c:f>
              <c:strCache>
                <c:ptCount val="4"/>
                <c:pt idx="0">
                  <c:v>&lt;5 µg/ml</c:v>
                </c:pt>
                <c:pt idx="1">
                  <c:v>5-20 µg/ml</c:v>
                </c:pt>
                <c:pt idx="2">
                  <c:v>20-100 µg/ml</c:v>
                </c:pt>
                <c:pt idx="3">
                  <c:v>&gt;100 µg/ml</c:v>
                </c:pt>
              </c:strCache>
            </c:strRef>
          </c:cat>
          <c:val>
            <c:numRef>
              <c:f>'2022'!$B$25:$B$28</c:f>
              <c:numCache>
                <c:formatCode>General</c:formatCode>
                <c:ptCount val="4"/>
                <c:pt idx="0">
                  <c:v>47</c:v>
                </c:pt>
                <c:pt idx="1">
                  <c:v>27</c:v>
                </c:pt>
                <c:pt idx="2">
                  <c:v>47</c:v>
                </c:pt>
                <c:pt idx="3">
                  <c:v>16</c:v>
                </c:pt>
              </c:numCache>
            </c:numRef>
          </c:val>
          <c:extLst>
            <c:ext xmlns:c16="http://schemas.microsoft.com/office/drawing/2014/chart" uri="{C3380CC4-5D6E-409C-BE32-E72D297353CC}">
              <c16:uniqueId val="{00000000-CEB8-4B05-BC45-596E76AF07EE}"/>
            </c:ext>
          </c:extLst>
        </c:ser>
        <c:dLbls>
          <c:showLegendKey val="0"/>
          <c:showVal val="0"/>
          <c:showCatName val="0"/>
          <c:showSerName val="0"/>
          <c:showPercent val="0"/>
          <c:showBubbleSize val="0"/>
        </c:dLbls>
        <c:gapWidth val="100"/>
        <c:overlap val="-24"/>
        <c:axId val="309326400"/>
        <c:axId val="309322080"/>
      </c:barChart>
      <c:catAx>
        <c:axId val="30932640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concentration</a:t>
                </a:r>
                <a:r>
                  <a:rPr lang="pl-PL" baseline="0"/>
                  <a:t> ranges</a:t>
                </a:r>
                <a:endParaRPr lang="pl-PL"/>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309322080"/>
        <c:crosses val="autoZero"/>
        <c:auto val="1"/>
        <c:lblAlgn val="ctr"/>
        <c:lblOffset val="100"/>
        <c:noMultiLvlLbl val="0"/>
      </c:catAx>
      <c:valAx>
        <c:axId val="309322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50000"/>
                        <a:lumOff val="50000"/>
                      </a:sysClr>
                    </a:solidFill>
                    <a:latin typeface="+mn-lt"/>
                    <a:ea typeface="+mn-ea"/>
                    <a:cs typeface="+mn-cs"/>
                  </a:defRPr>
                </a:pPr>
                <a:r>
                  <a:rPr lang="pl-PL" sz="900" b="0" i="0" u="none" strike="noStrike" kern="1200" baseline="0">
                    <a:solidFill>
                      <a:sysClr val="windowText" lastClr="000000">
                        <a:lumMod val="65000"/>
                        <a:lumOff val="35000"/>
                      </a:sysClr>
                    </a:solidFill>
                  </a:rPr>
                  <a:t>Number of tests</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50000"/>
                      <a:lumOff val="50000"/>
                    </a:sys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309326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dPt>
            <c:idx val="0"/>
            <c:bubble3D val="0"/>
            <c:spPr>
              <a:solidFill>
                <a:schemeClr val="accent3">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14-4A56-A999-2B2372379CC2}"/>
              </c:ext>
            </c:extLst>
          </c:dPt>
          <c:dPt>
            <c:idx val="1"/>
            <c:bubble3D val="0"/>
            <c:spPr>
              <a:solidFill>
                <a:schemeClr val="accent3">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14-4A56-A999-2B2372379CC2}"/>
              </c:ext>
            </c:extLst>
          </c:dPt>
          <c:dLbls>
            <c:dLbl>
              <c:idx val="0"/>
              <c:tx>
                <c:rich>
                  <a:bodyPr/>
                  <a:lstStyle/>
                  <a:p>
                    <a:fld id="{0DA6C6C3-77F7-4494-B28D-0ABDE55F995F}" type="PERCENTAGE">
                      <a:rPr lang="en-US"/>
                      <a:pPr/>
                      <a:t>[PROCENTOWE]</a:t>
                    </a:fld>
                    <a:endParaRPr lang="en-US"/>
                  </a:p>
                  <a:p>
                    <a:r>
                      <a:rPr lang="en-US"/>
                      <a:t>(253)</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014-4A56-A999-2B2372379CC2}"/>
                </c:ext>
              </c:extLst>
            </c:dLbl>
            <c:dLbl>
              <c:idx val="1"/>
              <c:tx>
                <c:rich>
                  <a:bodyPr/>
                  <a:lstStyle/>
                  <a:p>
                    <a:fld id="{85D9827B-14D1-4AC3-B4E7-891DA6E5CCE5}" type="PERCENTAGE">
                      <a:rPr lang="en-US"/>
                      <a:pPr/>
                      <a:t>[PROCENTOWE]</a:t>
                    </a:fld>
                    <a:endParaRPr lang="en-US"/>
                  </a:p>
                  <a:p>
                    <a:r>
                      <a:rPr lang="en-US"/>
                      <a:t>(109)</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014-4A56-A999-2B2372379CC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Zbiorcze!$A$10:$B$10</c:f>
              <c:strCache>
                <c:ptCount val="2"/>
                <c:pt idx="0">
                  <c:v>♀</c:v>
                </c:pt>
                <c:pt idx="1">
                  <c:v>♂</c:v>
                </c:pt>
              </c:strCache>
            </c:strRef>
          </c:cat>
          <c:val>
            <c:numRef>
              <c:f>Zbiorcze!$A$11:$B$11</c:f>
              <c:numCache>
                <c:formatCode>General</c:formatCode>
                <c:ptCount val="2"/>
                <c:pt idx="0">
                  <c:v>253</c:v>
                </c:pt>
                <c:pt idx="1">
                  <c:v>109</c:v>
                </c:pt>
              </c:numCache>
            </c:numRef>
          </c:val>
          <c:extLst>
            <c:ext xmlns:c16="http://schemas.microsoft.com/office/drawing/2014/chart" uri="{C3380CC4-5D6E-409C-BE32-E72D297353CC}">
              <c16:uniqueId val="{00000004-5014-4A56-A999-2B2372379CC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Zbiorcze!$B$16</c:f>
              <c:strCache>
                <c:ptCount val="1"/>
                <c:pt idx="0">
                  <c:v>Ilość oznaczeń</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Zbiorcze!$A$17:$A$20</c:f>
              <c:strCache>
                <c:ptCount val="4"/>
                <c:pt idx="0">
                  <c:v>0-14 </c:v>
                </c:pt>
                <c:pt idx="1">
                  <c:v>15-30 </c:v>
                </c:pt>
                <c:pt idx="2">
                  <c:v>31-65 </c:v>
                </c:pt>
                <c:pt idx="3">
                  <c:v>&gt;65 </c:v>
                </c:pt>
              </c:strCache>
            </c:strRef>
          </c:cat>
          <c:val>
            <c:numRef>
              <c:f>Zbiorcze!$B$17:$B$20</c:f>
              <c:numCache>
                <c:formatCode>General</c:formatCode>
                <c:ptCount val="4"/>
                <c:pt idx="0">
                  <c:v>108</c:v>
                </c:pt>
                <c:pt idx="1">
                  <c:v>176</c:v>
                </c:pt>
                <c:pt idx="2">
                  <c:v>69</c:v>
                </c:pt>
                <c:pt idx="3">
                  <c:v>9</c:v>
                </c:pt>
              </c:numCache>
            </c:numRef>
          </c:val>
          <c:extLst>
            <c:ext xmlns:c16="http://schemas.microsoft.com/office/drawing/2014/chart" uri="{C3380CC4-5D6E-409C-BE32-E72D297353CC}">
              <c16:uniqueId val="{00000000-671D-4A8D-ABFD-2FB092C96179}"/>
            </c:ext>
          </c:extLst>
        </c:ser>
        <c:dLbls>
          <c:dLblPos val="inEnd"/>
          <c:showLegendKey val="0"/>
          <c:showVal val="1"/>
          <c:showCatName val="0"/>
          <c:showSerName val="0"/>
          <c:showPercent val="0"/>
          <c:showBubbleSize val="0"/>
        </c:dLbls>
        <c:gapWidth val="100"/>
        <c:overlap val="-24"/>
        <c:axId val="861540447"/>
        <c:axId val="861557727"/>
      </c:barChart>
      <c:catAx>
        <c:axId val="86154044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AGE GROUPS [years]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861557727"/>
        <c:crosses val="autoZero"/>
        <c:auto val="1"/>
        <c:lblAlgn val="ctr"/>
        <c:lblOffset val="100"/>
        <c:noMultiLvlLbl val="0"/>
      </c:catAx>
      <c:valAx>
        <c:axId val="861557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861540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Zbiorcze!$B$24</c:f>
              <c:strCache>
                <c:ptCount val="1"/>
                <c:pt idx="0">
                  <c:v>Ilość wyników w przedziale</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delete val="1"/>
          </c:dLbls>
          <c:cat>
            <c:strRef>
              <c:f>Zbiorcze!$A$25:$A$28</c:f>
              <c:strCache>
                <c:ptCount val="4"/>
                <c:pt idx="0">
                  <c:v>&lt;5 µg/ml</c:v>
                </c:pt>
                <c:pt idx="1">
                  <c:v>5-20 µg/ml</c:v>
                </c:pt>
                <c:pt idx="2">
                  <c:v>20-100 µg/ml</c:v>
                </c:pt>
                <c:pt idx="3">
                  <c:v>&gt;100 µg/ml</c:v>
                </c:pt>
              </c:strCache>
            </c:strRef>
          </c:cat>
          <c:val>
            <c:numRef>
              <c:f>Zbiorcze!$B$25:$B$28</c:f>
              <c:numCache>
                <c:formatCode>General</c:formatCode>
                <c:ptCount val="4"/>
                <c:pt idx="0">
                  <c:v>113</c:v>
                </c:pt>
                <c:pt idx="1">
                  <c:v>74</c:v>
                </c:pt>
                <c:pt idx="2">
                  <c:v>125</c:v>
                </c:pt>
                <c:pt idx="3">
                  <c:v>52</c:v>
                </c:pt>
              </c:numCache>
            </c:numRef>
          </c:val>
          <c:extLst>
            <c:ext xmlns:c16="http://schemas.microsoft.com/office/drawing/2014/chart" uri="{C3380CC4-5D6E-409C-BE32-E72D297353CC}">
              <c16:uniqueId val="{00000000-6F5A-4800-82B4-117408EF5D43}"/>
            </c:ext>
          </c:extLst>
        </c:ser>
        <c:dLbls>
          <c:dLblPos val="inEnd"/>
          <c:showLegendKey val="0"/>
          <c:showVal val="1"/>
          <c:showCatName val="0"/>
          <c:showSerName val="0"/>
          <c:showPercent val="0"/>
          <c:showBubbleSize val="0"/>
        </c:dLbls>
        <c:gapWidth val="100"/>
        <c:overlap val="-24"/>
        <c:axId val="861542847"/>
        <c:axId val="861547167"/>
      </c:barChart>
      <c:catAx>
        <c:axId val="86154284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concentration</a:t>
                </a:r>
                <a:r>
                  <a:rPr lang="pl-PL" baseline="0"/>
                  <a:t> range</a:t>
                </a:r>
                <a:endParaRPr lang="pl-PL"/>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861547167"/>
        <c:crosses val="autoZero"/>
        <c:auto val="1"/>
        <c:lblAlgn val="ctr"/>
        <c:lblOffset val="100"/>
        <c:noMultiLvlLbl val="0"/>
      </c:catAx>
      <c:valAx>
        <c:axId val="861547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861542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'2018'!$C$7</c:f>
              <c:strCache>
                <c:ptCount val="1"/>
                <c:pt idx="0">
                  <c:v>Ilość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'2018'!$D$6:$O$6</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'2018'!$D$7:$O$7</c:f>
              <c:numCache>
                <c:formatCode>General</c:formatCode>
                <c:ptCount val="12"/>
                <c:pt idx="0">
                  <c:v>1</c:v>
                </c:pt>
                <c:pt idx="1">
                  <c:v>2</c:v>
                </c:pt>
                <c:pt idx="2">
                  <c:v>3</c:v>
                </c:pt>
                <c:pt idx="3">
                  <c:v>2</c:v>
                </c:pt>
                <c:pt idx="4">
                  <c:v>2</c:v>
                </c:pt>
                <c:pt idx="5">
                  <c:v>2</c:v>
                </c:pt>
                <c:pt idx="6">
                  <c:v>0</c:v>
                </c:pt>
                <c:pt idx="7">
                  <c:v>2</c:v>
                </c:pt>
                <c:pt idx="8">
                  <c:v>8</c:v>
                </c:pt>
                <c:pt idx="9">
                  <c:v>4</c:v>
                </c:pt>
                <c:pt idx="10">
                  <c:v>8</c:v>
                </c:pt>
                <c:pt idx="11">
                  <c:v>4</c:v>
                </c:pt>
              </c:numCache>
            </c:numRef>
          </c:val>
          <c:smooth val="0"/>
          <c:extLst>
            <c:ext xmlns:c16="http://schemas.microsoft.com/office/drawing/2014/chart" uri="{C3380CC4-5D6E-409C-BE32-E72D297353CC}">
              <c16:uniqueId val="{00000000-A2DD-42E8-8EBB-8E182A760106}"/>
            </c:ext>
          </c:extLst>
        </c:ser>
        <c:dLbls>
          <c:showLegendKey val="0"/>
          <c:showVal val="0"/>
          <c:showCatName val="0"/>
          <c:showSerName val="0"/>
          <c:showPercent val="0"/>
          <c:showBubbleSize val="0"/>
        </c:dLbls>
        <c:marker val="1"/>
        <c:smooth val="0"/>
        <c:axId val="673319599"/>
        <c:axId val="673301359"/>
      </c:lineChart>
      <c:catAx>
        <c:axId val="6733195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73301359"/>
        <c:crosses val="autoZero"/>
        <c:auto val="1"/>
        <c:lblAlgn val="ctr"/>
        <c:lblOffset val="100"/>
        <c:noMultiLvlLbl val="0"/>
      </c:catAx>
      <c:valAx>
        <c:axId val="673301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 Number</a:t>
                </a:r>
                <a:r>
                  <a:rPr lang="pl-PL" baseline="0"/>
                  <a:t> of tests </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73319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dPt>
            <c:idx val="0"/>
            <c:bubble3D val="0"/>
            <c:spPr>
              <a:solidFill>
                <a:schemeClr val="accent3">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056-492D-AF0C-F258E031F112}"/>
              </c:ext>
            </c:extLst>
          </c:dPt>
          <c:dPt>
            <c:idx val="1"/>
            <c:bubble3D val="0"/>
            <c:spPr>
              <a:solidFill>
                <a:schemeClr val="accent3">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056-492D-AF0C-F258E031F112}"/>
              </c:ext>
            </c:extLst>
          </c:dPt>
          <c:dLbls>
            <c:dLbl>
              <c:idx val="0"/>
              <c:tx>
                <c:rich>
                  <a:bodyPr/>
                  <a:lstStyle/>
                  <a:p>
                    <a:fld id="{17E1655C-5AF6-4E4D-A104-CE4D0E9DFC91}" type="PERCENTAGE">
                      <a:rPr lang="en-US"/>
                      <a:pPr/>
                      <a:t>[PROCENTOWE]</a:t>
                    </a:fld>
                    <a:r>
                      <a:rPr lang="en-US"/>
                      <a:t> (24)</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056-492D-AF0C-F258E031F112}"/>
                </c:ext>
              </c:extLst>
            </c:dLbl>
            <c:dLbl>
              <c:idx val="1"/>
              <c:tx>
                <c:rich>
                  <a:bodyPr/>
                  <a:lstStyle/>
                  <a:p>
                    <a:fld id="{66323B7B-4873-470A-BF44-66EAEC3E681A}" type="PERCENTAGE">
                      <a:rPr lang="en-US"/>
                      <a:pPr/>
                      <a:t>[PROCENTOWE]</a:t>
                    </a:fld>
                    <a:endParaRPr lang="en-US"/>
                  </a:p>
                  <a:p>
                    <a:r>
                      <a:rPr lang="en-US"/>
                      <a:t>(13)</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056-492D-AF0C-F258E031F11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'2018'!$A$10:$B$10</c:f>
              <c:strCache>
                <c:ptCount val="2"/>
                <c:pt idx="0">
                  <c:v>♀</c:v>
                </c:pt>
                <c:pt idx="1">
                  <c:v>♂</c:v>
                </c:pt>
              </c:strCache>
            </c:strRef>
          </c:cat>
          <c:val>
            <c:numRef>
              <c:f>'2018'!$A$11:$B$11</c:f>
              <c:numCache>
                <c:formatCode>General</c:formatCode>
                <c:ptCount val="2"/>
                <c:pt idx="0">
                  <c:v>24</c:v>
                </c:pt>
                <c:pt idx="1">
                  <c:v>13</c:v>
                </c:pt>
              </c:numCache>
            </c:numRef>
          </c:val>
          <c:extLst>
            <c:ext xmlns:c16="http://schemas.microsoft.com/office/drawing/2014/chart" uri="{C3380CC4-5D6E-409C-BE32-E72D297353CC}">
              <c16:uniqueId val="{00000004-9056-492D-AF0C-F258E031F11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'2018'!$B$16</c:f>
              <c:strCache>
                <c:ptCount val="1"/>
                <c:pt idx="0">
                  <c:v>Ilość oznaczeń</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'2018'!$A$17:$A$20</c:f>
              <c:strCache>
                <c:ptCount val="4"/>
                <c:pt idx="0">
                  <c:v>0-14 </c:v>
                </c:pt>
                <c:pt idx="1">
                  <c:v>15-30 </c:v>
                </c:pt>
                <c:pt idx="2">
                  <c:v>31-65 </c:v>
                </c:pt>
                <c:pt idx="3">
                  <c:v>&gt;65 </c:v>
                </c:pt>
              </c:strCache>
            </c:strRef>
          </c:cat>
          <c:val>
            <c:numRef>
              <c:f>'2018'!$B$17:$B$20</c:f>
              <c:numCache>
                <c:formatCode>General</c:formatCode>
                <c:ptCount val="4"/>
                <c:pt idx="0">
                  <c:v>14</c:v>
                </c:pt>
                <c:pt idx="1">
                  <c:v>14</c:v>
                </c:pt>
                <c:pt idx="2">
                  <c:v>9</c:v>
                </c:pt>
                <c:pt idx="3">
                  <c:v>0</c:v>
                </c:pt>
              </c:numCache>
            </c:numRef>
          </c:val>
          <c:extLst>
            <c:ext xmlns:c16="http://schemas.microsoft.com/office/drawing/2014/chart" uri="{C3380CC4-5D6E-409C-BE32-E72D297353CC}">
              <c16:uniqueId val="{00000000-3052-4DE6-9E28-2375D016757E}"/>
            </c:ext>
          </c:extLst>
        </c:ser>
        <c:dLbls>
          <c:showLegendKey val="0"/>
          <c:showVal val="0"/>
          <c:showCatName val="0"/>
          <c:showSerName val="0"/>
          <c:showPercent val="0"/>
          <c:showBubbleSize val="0"/>
        </c:dLbls>
        <c:gapWidth val="100"/>
        <c:overlap val="-24"/>
        <c:axId val="124236800"/>
        <c:axId val="130548656"/>
      </c:barChart>
      <c:catAx>
        <c:axId val="12423680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AGE</a:t>
                </a:r>
                <a:r>
                  <a:rPr lang="pl-PL" baseline="0"/>
                  <a:t> GROUPS [years]</a:t>
                </a:r>
                <a:endParaRPr lang="pl-PL"/>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130548656"/>
        <c:crosses val="autoZero"/>
        <c:auto val="1"/>
        <c:lblAlgn val="ctr"/>
        <c:lblOffset val="100"/>
        <c:noMultiLvlLbl val="0"/>
      </c:catAx>
      <c:valAx>
        <c:axId val="130548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Number</a:t>
                </a:r>
                <a:r>
                  <a:rPr lang="pl-PL" baseline="0"/>
                  <a:t> of tests</a:t>
                </a: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124236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'2018'!$B$24</c:f>
              <c:strCache>
                <c:ptCount val="1"/>
                <c:pt idx="0">
                  <c:v>Ilość wyników w przedziale</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'2018'!$A$25:$A$28</c:f>
              <c:strCache>
                <c:ptCount val="4"/>
                <c:pt idx="0">
                  <c:v>&lt;5 µg/ml</c:v>
                </c:pt>
                <c:pt idx="1">
                  <c:v>5-20 µg/ml</c:v>
                </c:pt>
                <c:pt idx="2">
                  <c:v>20-100 µg/ml</c:v>
                </c:pt>
                <c:pt idx="3">
                  <c:v>&gt;100 µg/ml</c:v>
                </c:pt>
              </c:strCache>
            </c:strRef>
          </c:cat>
          <c:val>
            <c:numRef>
              <c:f>'2018'!$B$25:$B$28</c:f>
              <c:numCache>
                <c:formatCode>General</c:formatCode>
                <c:ptCount val="4"/>
                <c:pt idx="0">
                  <c:v>13</c:v>
                </c:pt>
                <c:pt idx="1">
                  <c:v>9</c:v>
                </c:pt>
                <c:pt idx="2">
                  <c:v>10</c:v>
                </c:pt>
                <c:pt idx="3">
                  <c:v>5</c:v>
                </c:pt>
              </c:numCache>
            </c:numRef>
          </c:val>
          <c:extLst>
            <c:ext xmlns:c16="http://schemas.microsoft.com/office/drawing/2014/chart" uri="{C3380CC4-5D6E-409C-BE32-E72D297353CC}">
              <c16:uniqueId val="{00000000-EA10-43BC-87E9-FC63B5F85D90}"/>
            </c:ext>
          </c:extLst>
        </c:ser>
        <c:dLbls>
          <c:showLegendKey val="0"/>
          <c:showVal val="0"/>
          <c:showCatName val="0"/>
          <c:showSerName val="0"/>
          <c:showPercent val="0"/>
          <c:showBubbleSize val="0"/>
        </c:dLbls>
        <c:gapWidth val="100"/>
        <c:overlap val="-24"/>
        <c:axId val="484866544"/>
        <c:axId val="484867024"/>
      </c:barChart>
      <c:catAx>
        <c:axId val="48486654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baseline="0"/>
                  <a:t>concentration ranges</a:t>
                </a:r>
                <a:endParaRPr lang="pl-PL"/>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484867024"/>
        <c:crosses val="autoZero"/>
        <c:auto val="1"/>
        <c:lblAlgn val="ctr"/>
        <c:lblOffset val="100"/>
        <c:noMultiLvlLbl val="0"/>
      </c:catAx>
      <c:valAx>
        <c:axId val="484867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pl-PL"/>
                  <a:t>number</a:t>
                </a:r>
                <a:r>
                  <a:rPr lang="pl-PL" baseline="0"/>
                  <a:t> of tests</a:t>
                </a:r>
                <a:endParaRPr lang="pl-PL"/>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484866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withinLinear" id="16">
  <a:schemeClr val="accent3"/>
</cs:colorStyle>
</file>

<file path=word/charts/colors11.xml><?xml version="1.0" encoding="utf-8"?>
<cs:colorStyle xmlns:cs="http://schemas.microsoft.com/office/drawing/2012/chartStyle" xmlns:a="http://schemas.openxmlformats.org/drawingml/2006/main" meth="withinLinear" id="16">
  <a:schemeClr val="accent3"/>
</cs:colorStyle>
</file>

<file path=word/charts/colors12.xml><?xml version="1.0" encoding="utf-8"?>
<cs:colorStyle xmlns:cs="http://schemas.microsoft.com/office/drawing/2012/chartStyle" xmlns:a="http://schemas.openxmlformats.org/drawingml/2006/main" meth="withinLinear" id="16">
  <a:schemeClr val="accent3"/>
</cs:colorStyle>
</file>

<file path=word/charts/colors13.xml><?xml version="1.0" encoding="utf-8"?>
<cs:colorStyle xmlns:cs="http://schemas.microsoft.com/office/drawing/2012/chartStyle" xmlns:a="http://schemas.openxmlformats.org/drawingml/2006/main" meth="withinLinear" id="16">
  <a:schemeClr val="accent3"/>
</cs:colorStyle>
</file>

<file path=word/charts/colors14.xml><?xml version="1.0" encoding="utf-8"?>
<cs:colorStyle xmlns:cs="http://schemas.microsoft.com/office/drawing/2012/chartStyle" xmlns:a="http://schemas.openxmlformats.org/drawingml/2006/main" meth="withinLinear" id="16">
  <a:schemeClr val="accent3"/>
</cs:colorStyle>
</file>

<file path=word/charts/colors15.xml><?xml version="1.0" encoding="utf-8"?>
<cs:colorStyle xmlns:cs="http://schemas.microsoft.com/office/drawing/2012/chartStyle" xmlns:a="http://schemas.openxmlformats.org/drawingml/2006/main" meth="withinLinear" id="16">
  <a:schemeClr val="accent3"/>
</cs:colorStyle>
</file>

<file path=word/charts/colors16.xml><?xml version="1.0" encoding="utf-8"?>
<cs:colorStyle xmlns:cs="http://schemas.microsoft.com/office/drawing/2012/chartStyle" xmlns:a="http://schemas.openxmlformats.org/drawingml/2006/main" meth="withinLinear" id="16">
  <a:schemeClr val="accent3"/>
</cs:colorStyle>
</file>

<file path=word/charts/colors17.xml><?xml version="1.0" encoding="utf-8"?>
<cs:colorStyle xmlns:cs="http://schemas.microsoft.com/office/drawing/2012/chartStyle" xmlns:a="http://schemas.openxmlformats.org/drawingml/2006/main" meth="withinLinear" id="16">
  <a:schemeClr val="accent3"/>
</cs:colorStyle>
</file>

<file path=word/charts/colors18.xml><?xml version="1.0" encoding="utf-8"?>
<cs:colorStyle xmlns:cs="http://schemas.microsoft.com/office/drawing/2012/chartStyle" xmlns:a="http://schemas.openxmlformats.org/drawingml/2006/main" meth="withinLinear" id="16">
  <a:schemeClr val="accent3"/>
</cs:colorStyle>
</file>

<file path=word/charts/colors19.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20.xml><?xml version="1.0" encoding="utf-8"?>
<cs:colorStyle xmlns:cs="http://schemas.microsoft.com/office/drawing/2012/chartStyle" xmlns:a="http://schemas.openxmlformats.org/drawingml/2006/main" meth="withinLinear" id="16">
  <a:schemeClr val="accent3"/>
</cs:colorStyle>
</file>

<file path=word/charts/colors21.xml><?xml version="1.0" encoding="utf-8"?>
<cs:colorStyle xmlns:cs="http://schemas.microsoft.com/office/drawing/2012/chartStyle" xmlns:a="http://schemas.openxmlformats.org/drawingml/2006/main" meth="withinLinear" id="16">
  <a:schemeClr val="accent3"/>
</cs:colorStyle>
</file>

<file path=word/charts/colors22.xml><?xml version="1.0" encoding="utf-8"?>
<cs:colorStyle xmlns:cs="http://schemas.microsoft.com/office/drawing/2012/chartStyle" xmlns:a="http://schemas.openxmlformats.org/drawingml/2006/main" meth="withinLinear" id="16">
  <a:schemeClr val="accent3"/>
</cs:colorStyle>
</file>

<file path=word/charts/colors23.xml><?xml version="1.0" encoding="utf-8"?>
<cs:colorStyle xmlns:cs="http://schemas.microsoft.com/office/drawing/2012/chartStyle" xmlns:a="http://schemas.openxmlformats.org/drawingml/2006/main" meth="withinLinear" id="16">
  <a:schemeClr val="accent3"/>
</cs:colorStyle>
</file>

<file path=word/charts/colors24.xml><?xml version="1.0" encoding="utf-8"?>
<cs:colorStyle xmlns:cs="http://schemas.microsoft.com/office/drawing/2012/chartStyle" xmlns:a="http://schemas.openxmlformats.org/drawingml/2006/main" meth="withinLinear" id="16">
  <a:schemeClr val="accent3"/>
</cs:colorStyle>
</file>

<file path=word/charts/colors25.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Jóź14</b:Tag>
    <b:SourceType>ArticleInAPeriodical</b:SourceType>
    <b:Guid>{AA3D3D27-4261-401D-B391-4EA3896B99A6}</b:Guid>
    <b:Author>
      <b:Author>
        <b:NameList>
          <b:Person>
            <b:Last>Jóźwiak-Bebenista M</b:Last>
            <b:First>Nowak</b:First>
            <b:Middle>JZ</b:Middle>
          </b:Person>
        </b:NameList>
      </b:Author>
    </b:Author>
    <b:Title>Paracetamol: mechanism of action, applications and safety concern</b:Title>
    <b:PeriodicalTitle>Acta Poloniae Pharmaceutica</b:PeriodicalTitle>
    <b:Year>2014</b:Year>
    <b:Month>January</b:Month>
    <b:RefOrder>2</b:RefOrder>
  </b:Source>
  <b:Source>
    <b:Tag>Uld21</b:Tag>
    <b:SourceType>ArticleInAPeriodical</b:SourceType>
    <b:Guid>{0D02472D-3963-4022-AF10-C124D2E6D14D}</b:Guid>
    <b:Title>Paracetamol: A Review of Guideline Recommendations</b:Title>
    <b:Year>2021</b:Year>
    <b:Author>
      <b:Author>
        <b:NameList>
          <b:Person>
            <b:Last>Ulderico Freo 1</b:Last>
            <b:First>*,</b:First>
            <b:Middle>Chiara Ruocco 2 , Alessandra Valerio 3 , Irene Scagnol 1 and Enzo Nisoli 2</b:Middle>
          </b:Person>
        </b:NameList>
      </b:Author>
    </b:Author>
    <b:PeriodicalTitle>Journal of Clinical Medicine</b:PeriodicalTitle>
    <b:Month>July</b:Month>
    <b:RefOrder>3</b:RefOrder>
  </b:Source>
  <b:Source>
    <b:Tag>BRI08</b:Tag>
    <b:SourceType>ArticleInAPeriodical</b:SourceType>
    <b:Guid>{EC284B00-CA02-4CBF-995D-AC6C43CDF1BF}</b:Guid>
    <b:Author>
      <b:Author>
        <b:NameList>
          <b:Person>
            <b:Last>ANDERSON</b:Last>
            <b:First>BRIAN</b:First>
            <b:Middle>J.</b:Middle>
          </b:Person>
        </b:NameList>
      </b:Author>
    </b:Author>
    <b:Title>Paracetamol (Acetaminophen): mechanisms of action</b:Title>
    <b:PeriodicalTitle>Pediatric Anesthesia</b:PeriodicalTitle>
    <b:Year>2008</b:Year>
    <b:RefOrder>4</b:RefOrder>
  </b:Source>
  <b:Source>
    <b:Tag>Gra05</b:Tag>
    <b:SourceType>ArticleInAPeriodical</b:SourceType>
    <b:Guid>{969A04A1-015D-4C48-BCCE-16014BD582F5}</b:Guid>
    <b:Author>
      <b:Author>
        <b:NameList>
          <b:Person>
            <b:Last>Graham</b:Last>
            <b:First>Garry</b:First>
            <b:Middle>G.1*</b:Middle>
          </b:Person>
          <b:Person>
            <b:Last>Scott</b:Last>
            <b:First>Kieran</b:First>
            <b:Middle>F.2</b:Middle>
          </b:Person>
        </b:NameList>
      </b:Author>
    </b:Author>
    <b:Title>Mechanism of Action of Paracetamol</b:Title>
    <b:PeriodicalTitle>American Journal of Therapeutics</b:PeriodicalTitle>
    <b:Year>2005</b:Year>
    <b:Month>January</b:Month>
    <b:RefOrder>5</b:RefOrder>
  </b:Source>
  <b:Source>
    <b:Tag>Liz11</b:Tag>
    <b:SourceType>ArticleInAPeriodical</b:SourceType>
    <b:Guid>{65B5A693-E39F-484A-B7A8-87054425C519}</b:Guid>
    <b:Author>
      <b:Author>
        <b:NameList>
          <b:Person>
            <b:Last>Lizi Zhao1</b:Last>
            <b:First>2,</b:First>
            <b:Middle>and Gisèle Pickering2–4</b:Middle>
          </b:Person>
        </b:NameList>
      </b:Author>
    </b:Author>
    <b:Title>Paracetamol metabolism and related genetic</b:Title>
    <b:PeriodicalTitle>Drug Metabolism Reviews,</b:PeriodicalTitle>
    <b:Year>2011</b:Year>
    <b:RefOrder>6</b:RefOrder>
  </b:Source>
  <b:Source>
    <b:Tag>Lau00</b:Tag>
    <b:SourceType>ArticleInAPeriodical</b:SourceType>
    <b:Guid>{4349F7D5-60A9-4F4A-AAC7-A4ED6EC67E33}</b:Guid>
    <b:Author>
      <b:Author>
        <b:NameList>
          <b:Person>
            <b:Last>Prescott</b:Last>
            <b:First>Laurie</b:First>
            <b:Middle>F.</b:Middle>
          </b:Person>
        </b:NameList>
      </b:Author>
    </b:Author>
    <b:Title>Paracetamol, alcohol and the liver</b:Title>
    <b:PeriodicalTitle>British Journal of Clinical Pharmacology</b:PeriodicalTitle>
    <b:Year>2000</b:Year>
    <b:Month>April</b:Month>
    <b:RefOrder>7</b:RefOrder>
  </b:Source>
  <b:Source>
    <b:Tag>DNi19</b:Tag>
    <b:SourceType>ArticleInAPeriodical</b:SourceType>
    <b:Guid>{2C6F76AA-BC9B-4343-98BF-78A4CC9D805C}</b:Guid>
    <b:Author>
      <b:Author>
        <b:NameList>
          <b:Person>
            <b:Last>Dear</b:Last>
            <b:First>D.</b:First>
            <b:Middle>Nicholas Bateman * and James W.</b:Middle>
          </b:Person>
        </b:NameList>
      </b:Author>
    </b:Author>
    <b:Title>Acetylcysteine in paracetamol poisoning:</b:Title>
    <b:PeriodicalTitle>Royal Society of Chemistry</b:PeriodicalTitle>
    <b:Year>2019</b:Year>
    <b:Month>April</b:Month>
    <b:RefOrder>8</b:RefOrder>
  </b:Source>
  <b:Source>
    <b:Tag>Mic20</b:Tag>
    <b:SourceType>ArticleInAPeriodical</b:SourceType>
    <b:Guid>{67797446-B203-487D-9E7C-F810DD7AD86B}</b:Guid>
    <b:Author>
      <b:Author>
        <b:NameList>
          <b:Person>
            <b:Last>Michael E. Mullins</b:Last>
            <b:First>Lauren</b:First>
            <b:Middle>H. Yeager &amp; William E. Freeman</b:Middle>
          </b:Person>
        </b:NameList>
      </b:Author>
    </b:Author>
    <b:Title>Metabolic and mitochondrial treatments for severe paracetamol poisoning: a systematic review</b:Title>
    <b:PeriodicalTitle>Clinical Toxycology</b:PeriodicalTitle>
    <b:Year>2020</b:Year>
    <b:RefOrder>9</b:RefOrder>
  </b:Source>
  <b:Source>
    <b:Tag>Þor21</b:Tag>
    <b:SourceType>ArticleInAPeriodical</b:SourceType>
    <b:Guid>{D321C8DA-F8F7-48AB-82F1-490030FF3CA6}</b:Guid>
    <b:Author>
      <b:Author>
        <b:NameList>
          <b:Person>
            <b:Last>Þorbjörg Andrea Friðriksdóttir</b:Last>
            <b:First>Freyja</b:First>
            <b:Middle>Jónsdóttir, Curtis P. Snook, Helena</b:Middle>
          </b:Person>
        </b:NameList>
      </b:Author>
    </b:Author>
    <b:Title>Paracetamol poisoning: a population-based study from Iceland</b:Title>
    <b:PeriodicalTitle>Scandinavian Journal of Gastroenterology</b:PeriodicalTitle>
    <b:Year>2021</b:Year>
    <b:RefOrder>10</b:RefOrder>
  </b:Source>
  <b:Source>
    <b:Tag>Thu00</b:Tag>
    <b:SourceType>ArticleInAPeriodical</b:SourceType>
    <b:Guid>{1AD184FA-CF36-43FF-9B67-A476FD7DD20D}</b:Guid>
    <b:Author>
      <b:Author>
        <b:NameList>
          <b:Person>
            <b:Last>E.</b:Last>
            <b:First>Thummel</b:First>
            <b:Middle>Kenneth</b:Middle>
          </b:Person>
        </b:NameList>
      </b:Author>
    </b:Author>
    <b:Title>Ethanol and production of the hepatotoxic metabolite of acetaminophen in healthy adults</b:Title>
    <b:PeriodicalTitle>Clinical Pharmacology &amp; Therapeutics</b:PeriodicalTitle>
    <b:Year>2000</b:Year>
    <b:Pages>591-599</b:Pages>
    <b:RefOrder>1</b:RefOrder>
  </b:Source>
</b:Sources>
</file>

<file path=customXml/itemProps1.xml><?xml version="1.0" encoding="utf-8"?>
<ds:datastoreItem xmlns:ds="http://schemas.openxmlformats.org/officeDocument/2006/customXml" ds:itemID="{2978B207-ED85-4BCE-96F8-166132B1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11067</TotalTime>
  <Pages>20</Pages>
  <Words>3717</Words>
  <Characters>22308</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COMP</dc:creator>
  <cp:keywords/>
  <dc:description/>
  <cp:lastModifiedBy>INFO COMP</cp:lastModifiedBy>
  <cp:revision>136</cp:revision>
  <dcterms:created xsi:type="dcterms:W3CDTF">2024-02-12T22:25:00Z</dcterms:created>
  <dcterms:modified xsi:type="dcterms:W3CDTF">2024-02-26T11:33:00Z</dcterms:modified>
</cp:coreProperties>
</file>