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4329" w14:textId="77777777" w:rsidR="00603C2E" w:rsidRDefault="00000000">
      <w:pPr>
        <w:spacing w:after="200" w:line="240" w:lineRule="auto"/>
        <w:ind w:left="0"/>
        <w:rPr>
          <w:color w:val="333333"/>
          <w:kern w:val="0"/>
          <w:sz w:val="24"/>
          <w:szCs w:val="24"/>
          <w:u w:color="333333"/>
        </w:rPr>
      </w:pPr>
      <w:r>
        <w:rPr>
          <w:spacing w:val="-2"/>
          <w:kern w:val="0"/>
          <w:sz w:val="24"/>
          <w:szCs w:val="24"/>
        </w:rPr>
        <w:t>Table 1.</w:t>
      </w:r>
      <w:r>
        <w:rPr>
          <w:spacing w:val="-2"/>
          <w:kern w:val="0"/>
          <w:sz w:val="24"/>
          <w:szCs w:val="24"/>
          <w:lang w:val="en-US"/>
        </w:rPr>
        <w:t xml:space="preserve"> American College of Rheumatology guidelines for screening for uveitis in the course of JIA [17].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03C2E" w14:paraId="751FC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2960" w14:textId="77777777" w:rsidR="00603C2E" w:rsidRDefault="00000000">
            <w:pPr>
              <w:spacing w:line="450" w:lineRule="atLeast"/>
              <w:ind w:left="0"/>
              <w:outlineLvl w:val="2"/>
            </w:pPr>
            <w:r>
              <w:rPr>
                <w:b/>
                <w:bCs/>
                <w:kern w:val="0"/>
                <w:lang w:val="en-US"/>
              </w:rPr>
              <w:t xml:space="preserve">High risk of developing </w:t>
            </w:r>
            <w:r>
              <w:rPr>
                <w:b/>
                <w:bCs/>
                <w:kern w:val="0"/>
              </w:rPr>
              <w:t>uveitis: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2B88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b/>
                <w:bCs/>
                <w:kern w:val="0"/>
                <w:lang w:val="en-US"/>
              </w:rPr>
              <w:t xml:space="preserve">Medium or low risk of developing </w:t>
            </w:r>
            <w:r>
              <w:rPr>
                <w:b/>
                <w:bCs/>
                <w:kern w:val="0"/>
              </w:rPr>
              <w:t>uveitis:</w:t>
            </w:r>
          </w:p>
        </w:tc>
      </w:tr>
      <w:tr w:rsidR="00603C2E" w14:paraId="769FED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503C" w14:textId="77777777" w:rsidR="00603C2E" w:rsidRDefault="00000000">
            <w:pPr>
              <w:pStyle w:val="Akapitzlist"/>
              <w:numPr>
                <w:ilvl w:val="0"/>
                <w:numId w:val="1"/>
              </w:numPr>
              <w:spacing w:before="0" w:after="0" w:line="450" w:lineRule="atLeast"/>
              <w:outlineLvl w:val="2"/>
              <w:rPr>
                <w:spacing w:val="-1"/>
                <w:kern w:val="0"/>
                <w:sz w:val="20"/>
                <w:szCs w:val="20"/>
              </w:rPr>
            </w:pPr>
            <w:r>
              <w:rPr>
                <w:spacing w:val="-1"/>
                <w:kern w:val="0"/>
                <w:sz w:val="20"/>
                <w:szCs w:val="20"/>
              </w:rPr>
              <w:t>c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  <w:shd w:val="clear" w:color="auto" w:fill="FFFFFF"/>
                <w:lang w:val="en-US"/>
              </w:rPr>
              <w:t>hildren</w:t>
            </w:r>
            <w:proofErr w:type="spellEnd"/>
            <w:r>
              <w:rPr>
                <w:color w:val="212121"/>
                <w:sz w:val="20"/>
                <w:szCs w:val="20"/>
                <w:u w:color="212121"/>
                <w:shd w:val="clear" w:color="auto" w:fill="FFFFFF"/>
                <w:lang w:val="en-US"/>
              </w:rPr>
              <w:t xml:space="preserve"> with positive ANA test results</w:t>
            </w:r>
          </w:p>
          <w:p w14:paraId="311BE6BD" w14:textId="77777777" w:rsidR="00603C2E" w:rsidRDefault="00000000">
            <w:pPr>
              <w:pStyle w:val="Akapitzlist"/>
              <w:numPr>
                <w:ilvl w:val="0"/>
                <w:numId w:val="1"/>
              </w:numPr>
              <w:spacing w:before="0" w:after="0" w:line="450" w:lineRule="atLeast"/>
              <w:outlineLvl w:val="2"/>
              <w:rPr>
                <w:spacing w:val="-1"/>
                <w:kern w:val="0"/>
                <w:sz w:val="20"/>
                <w:szCs w:val="20"/>
              </w:rPr>
            </w:pPr>
            <w:r>
              <w:rPr>
                <w:spacing w:val="-1"/>
                <w:kern w:val="0"/>
                <w:sz w:val="20"/>
                <w:szCs w:val="20"/>
              </w:rPr>
              <w:t>a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  <w:shd w:val="clear" w:color="auto" w:fill="FFFFFF"/>
                <w:lang w:val="en-US"/>
              </w:rPr>
              <w:t>ge</w:t>
            </w:r>
            <w:proofErr w:type="spellEnd"/>
            <w:r>
              <w:rPr>
                <w:color w:val="212121"/>
                <w:sz w:val="20"/>
                <w:szCs w:val="20"/>
                <w:u w:color="212121"/>
                <w:shd w:val="clear" w:color="auto" w:fill="FFFFFF"/>
                <w:lang w:val="en-US"/>
              </w:rPr>
              <w:t xml:space="preserve"> of onset less than 7 years</w:t>
            </w:r>
          </w:p>
          <w:p w14:paraId="166FAB71" w14:textId="77777777" w:rsidR="00603C2E" w:rsidRDefault="00000000">
            <w:pPr>
              <w:pStyle w:val="Akapitzlist"/>
              <w:numPr>
                <w:ilvl w:val="0"/>
                <w:numId w:val="1"/>
              </w:numPr>
              <w:spacing w:before="0" w:after="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en-US"/>
              </w:rPr>
            </w:pPr>
            <w:r>
              <w:rPr>
                <w:color w:val="212121"/>
                <w:sz w:val="20"/>
                <w:szCs w:val="20"/>
                <w:u w:color="212121"/>
                <w:shd w:val="clear" w:color="auto" w:fill="FFFFFF"/>
                <w:lang w:val="en-US"/>
              </w:rPr>
              <w:t>arthritis evolution treatment for the first 4 years</w:t>
            </w:r>
          </w:p>
          <w:p w14:paraId="5510CC2A" w14:textId="77777777" w:rsidR="00603C2E" w:rsidRDefault="00000000">
            <w:pPr>
              <w:pStyle w:val="Akapitzlist"/>
              <w:spacing w:before="0" w:after="0" w:line="450" w:lineRule="atLeast"/>
              <w:outlineLvl w:val="2"/>
              <w:rPr>
                <w:spacing w:val="-1"/>
                <w:kern w:val="0"/>
                <w:sz w:val="20"/>
                <w:szCs w:val="20"/>
              </w:rPr>
            </w:pPr>
            <w:r>
              <w:rPr>
                <w:spacing w:val="-1"/>
                <w:kern w:val="0"/>
                <w:sz w:val="20"/>
                <w:szCs w:val="20"/>
              </w:rPr>
              <w:t>and</w:t>
            </w:r>
            <w:r>
              <w:rPr>
                <w:spacing w:val="-1"/>
                <w:kern w:val="0"/>
                <w:sz w:val="20"/>
                <w:szCs w:val="20"/>
                <w:shd w:val="clear" w:color="auto" w:fill="FFFFFF"/>
              </w:rPr>
              <w:t>:</w:t>
            </w:r>
          </w:p>
          <w:p w14:paraId="0075575B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color w:val="212121"/>
                <w:sz w:val="20"/>
                <w:szCs w:val="20"/>
                <w:u w:color="212121"/>
              </w:rPr>
              <w:t xml:space="preserve">polyarthritis/RF (rheumatoid factor) — </w:t>
            </w:r>
            <w:r>
              <w:rPr>
                <w:color w:val="212121"/>
                <w:sz w:val="20"/>
                <w:szCs w:val="20"/>
                <w:u w:color="212121"/>
                <w:lang w:val="en-US"/>
              </w:rPr>
              <w:t>negative polyarthritis/psoriatic arthritis/undifferentiated arthritis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E758" w14:textId="77777777" w:rsidR="00603C2E" w:rsidRDefault="00000000">
            <w:pPr>
              <w:pStyle w:val="Akapitzlist"/>
              <w:numPr>
                <w:ilvl w:val="0"/>
                <w:numId w:val="2"/>
              </w:numPr>
              <w:spacing w:before="0" w:after="0" w:line="450" w:lineRule="atLeast"/>
              <w:outlineLvl w:val="2"/>
              <w:rPr>
                <w:color w:val="212121"/>
                <w:sz w:val="20"/>
                <w:szCs w:val="20"/>
                <w:u w:color="212121"/>
              </w:rPr>
            </w:pPr>
            <w:r>
              <w:rPr>
                <w:color w:val="212121"/>
                <w:sz w:val="20"/>
                <w:szCs w:val="20"/>
                <w:u w:color="212121"/>
              </w:rPr>
              <w:t>c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  <w:lang w:val="en-US"/>
              </w:rPr>
              <w:t>hildren</w:t>
            </w:r>
            <w:proofErr w:type="spellEnd"/>
            <w:r>
              <w:rPr>
                <w:color w:val="212121"/>
                <w:sz w:val="20"/>
                <w:szCs w:val="20"/>
                <w:u w:color="212121"/>
                <w:lang w:val="en-US"/>
              </w:rPr>
              <w:t xml:space="preserve"> with negative ANA test results </w:t>
            </w:r>
          </w:p>
          <w:p w14:paraId="414BF808" w14:textId="77777777" w:rsidR="00603C2E" w:rsidRDefault="00000000">
            <w:pPr>
              <w:pStyle w:val="Akapitzlist"/>
              <w:numPr>
                <w:ilvl w:val="0"/>
                <w:numId w:val="2"/>
              </w:numPr>
              <w:spacing w:before="0" w:after="0" w:line="450" w:lineRule="atLeast"/>
              <w:outlineLvl w:val="2"/>
              <w:rPr>
                <w:color w:val="212121"/>
                <w:sz w:val="20"/>
                <w:szCs w:val="20"/>
                <w:u w:color="212121"/>
              </w:rPr>
            </w:pPr>
            <w:r>
              <w:rPr>
                <w:color w:val="212121"/>
                <w:sz w:val="20"/>
                <w:szCs w:val="20"/>
                <w:u w:color="212121"/>
              </w:rPr>
              <w:t xml:space="preserve">Age of 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</w:rPr>
              <w:t>onset</w:t>
            </w:r>
            <w:proofErr w:type="spellEnd"/>
            <w:r>
              <w:rPr>
                <w:color w:val="212121"/>
                <w:sz w:val="20"/>
                <w:szCs w:val="20"/>
                <w:u w:color="212121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</w:rPr>
              <w:t>greater</w:t>
            </w:r>
            <w:proofErr w:type="spellEnd"/>
            <w:r>
              <w:rPr>
                <w:color w:val="212121"/>
                <w:sz w:val="20"/>
                <w:szCs w:val="20"/>
                <w:u w:color="212121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</w:rPr>
              <w:t>than</w:t>
            </w:r>
            <w:proofErr w:type="spellEnd"/>
            <w:r>
              <w:rPr>
                <w:color w:val="212121"/>
                <w:sz w:val="20"/>
                <w:szCs w:val="20"/>
                <w:u w:color="212121"/>
              </w:rPr>
              <w:t xml:space="preserve"> 7 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</w:rPr>
              <w:t>years</w:t>
            </w:r>
            <w:proofErr w:type="spellEnd"/>
          </w:p>
          <w:p w14:paraId="1A7720D0" w14:textId="77777777" w:rsidR="00603C2E" w:rsidRDefault="00000000">
            <w:pPr>
              <w:pStyle w:val="Akapitzlist"/>
              <w:numPr>
                <w:ilvl w:val="0"/>
                <w:numId w:val="2"/>
              </w:numPr>
              <w:spacing w:before="0" w:after="0" w:line="450" w:lineRule="atLeast"/>
              <w:outlineLvl w:val="2"/>
              <w:rPr>
                <w:color w:val="212121"/>
                <w:sz w:val="20"/>
                <w:szCs w:val="20"/>
                <w:u w:color="212121"/>
              </w:rPr>
            </w:pPr>
            <w:r>
              <w:rPr>
                <w:color w:val="212121"/>
                <w:sz w:val="20"/>
                <w:szCs w:val="20"/>
                <w:u w:color="212121"/>
              </w:rPr>
              <w:t xml:space="preserve"> a</w:t>
            </w:r>
            <w:proofErr w:type="spellStart"/>
            <w:r>
              <w:rPr>
                <w:color w:val="212121"/>
                <w:sz w:val="20"/>
                <w:szCs w:val="20"/>
                <w:u w:color="212121"/>
                <w:lang w:val="en-US"/>
              </w:rPr>
              <w:t>fter</w:t>
            </w:r>
            <w:proofErr w:type="spellEnd"/>
            <w:r>
              <w:rPr>
                <w:color w:val="212121"/>
                <w:sz w:val="20"/>
                <w:szCs w:val="20"/>
                <w:u w:color="212121"/>
                <w:lang w:val="en-US"/>
              </w:rPr>
              <w:t xml:space="preserve"> first 4 years of developing arthritis;</w:t>
            </w:r>
            <w:r>
              <w:rPr>
                <w:color w:val="212121"/>
                <w:sz w:val="20"/>
                <w:szCs w:val="20"/>
                <w:u w:color="212121"/>
              </w:rPr>
              <w:t> </w:t>
            </w:r>
          </w:p>
          <w:p w14:paraId="67329BE2" w14:textId="77777777" w:rsidR="00603C2E" w:rsidRDefault="00000000">
            <w:pPr>
              <w:pStyle w:val="Akapitzlist"/>
              <w:spacing w:before="0" w:after="0" w:line="450" w:lineRule="atLeast"/>
              <w:outlineLvl w:val="2"/>
              <w:rPr>
                <w:color w:val="212121"/>
                <w:sz w:val="20"/>
                <w:szCs w:val="20"/>
                <w:u w:color="212121"/>
              </w:rPr>
            </w:pPr>
            <w:r>
              <w:rPr>
                <w:color w:val="212121"/>
                <w:sz w:val="20"/>
                <w:szCs w:val="20"/>
                <w:u w:color="212121"/>
              </w:rPr>
              <w:t>and:</w:t>
            </w:r>
          </w:p>
          <w:p w14:paraId="1B932284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color w:val="212121"/>
                <w:sz w:val="20"/>
                <w:szCs w:val="20"/>
                <w:u w:color="212121"/>
                <w:lang w:val="en-US"/>
              </w:rPr>
              <w:t>Non-articular inflammation/RF-negative polyarthritis/ psoriatic arthritis/ undifferentiated arthritis</w:t>
            </w:r>
          </w:p>
        </w:tc>
      </w:tr>
      <w:tr w:rsidR="00603C2E" w14:paraId="41006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24DC" w14:textId="77777777" w:rsidR="00603C2E" w:rsidRDefault="00603C2E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F0FF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color w:val="212121"/>
                <w:sz w:val="20"/>
                <w:szCs w:val="20"/>
                <w:u w:color="212121"/>
                <w:lang w:val="en-US"/>
              </w:rPr>
              <w:t>Systemic, multi-joint JIA with positive RF factor</w:t>
            </w:r>
          </w:p>
        </w:tc>
      </w:tr>
      <w:tr w:rsidR="00603C2E" w14:paraId="6C604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D586" w14:textId="77777777" w:rsidR="00603C2E" w:rsidRDefault="00603C2E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5895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color w:val="212121"/>
                <w:sz w:val="20"/>
                <w:szCs w:val="20"/>
                <w:u w:color="212121"/>
                <w:lang w:val="en-US"/>
              </w:rPr>
              <w:t>Arthritis associated with tendonitis</w:t>
            </w:r>
          </w:p>
        </w:tc>
      </w:tr>
      <w:tr w:rsidR="00603C2E" w14:paraId="0A004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3A12" w14:textId="77777777" w:rsidR="00603C2E" w:rsidRDefault="00603C2E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99E1" w14:textId="77777777" w:rsidR="00603C2E" w:rsidRDefault="00000000">
            <w:pPr>
              <w:spacing w:before="0" w:after="0" w:line="450" w:lineRule="atLeast"/>
              <w:ind w:left="0"/>
              <w:outlineLvl w:val="2"/>
            </w:pPr>
            <w:r>
              <w:rPr>
                <w:color w:val="212121"/>
                <w:sz w:val="20"/>
                <w:szCs w:val="20"/>
                <w:u w:color="212121"/>
                <w:lang w:val="en-US"/>
              </w:rPr>
              <w:t>Any form of JIA associated with the HLA-B27-positive genotype</w:t>
            </w:r>
          </w:p>
        </w:tc>
      </w:tr>
    </w:tbl>
    <w:p w14:paraId="47F0B2BE" w14:textId="77777777" w:rsidR="00603C2E" w:rsidRDefault="00603C2E">
      <w:pPr>
        <w:widowControl w:val="0"/>
        <w:spacing w:after="200" w:line="240" w:lineRule="auto"/>
        <w:ind w:left="0"/>
        <w:rPr>
          <w:color w:val="333333"/>
          <w:kern w:val="0"/>
          <w:sz w:val="24"/>
          <w:szCs w:val="24"/>
          <w:u w:color="333333"/>
        </w:rPr>
      </w:pPr>
    </w:p>
    <w:p w14:paraId="78060F11" w14:textId="77777777" w:rsidR="00603C2E" w:rsidRDefault="00000000">
      <w:pPr>
        <w:spacing w:before="0" w:after="360" w:line="450" w:lineRule="atLeast"/>
        <w:ind w:left="0"/>
        <w:outlineLvl w:val="2"/>
      </w:pPr>
      <w:r>
        <w:rPr>
          <w:spacing w:val="-2"/>
          <w:kern w:val="0"/>
          <w:sz w:val="24"/>
          <w:szCs w:val="24"/>
        </w:rPr>
        <w:t>Table 2.</w:t>
      </w:r>
      <w:r>
        <w:rPr>
          <w:spacing w:val="-2"/>
          <w:kern w:val="0"/>
          <w:sz w:val="24"/>
          <w:szCs w:val="24"/>
          <w:lang w:val="en-US"/>
        </w:rPr>
        <w:t xml:space="preserve"> Criteria for classifying sarcoidosis-induced uveitis according to SUN (Standardization of Uveitis Nomenclature Working Group) [21].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03C2E" w14:paraId="24F0C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FC89" w14:textId="77777777" w:rsidR="00603C2E" w:rsidRDefault="00000000">
            <w:pPr>
              <w:spacing w:after="360" w:line="450" w:lineRule="atLeast"/>
              <w:ind w:left="0"/>
              <w:jc w:val="center"/>
              <w:outlineLvl w:val="2"/>
            </w:pPr>
            <w:r>
              <w:rPr>
                <w:b/>
                <w:bCs/>
                <w:spacing w:val="-1"/>
                <w:kern w:val="0"/>
                <w:lang w:val="en-US"/>
              </w:rPr>
              <w:t>SUN classification criteria for sarcoidosis-induced uveitis:</w:t>
            </w:r>
          </w:p>
        </w:tc>
      </w:tr>
      <w:tr w:rsidR="00603C2E" w14:paraId="3FFA6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D50F" w14:textId="77777777" w:rsidR="00603C2E" w:rsidRDefault="00000000">
            <w:pPr>
              <w:pStyle w:val="Akapitzlist"/>
              <w:numPr>
                <w:ilvl w:val="0"/>
                <w:numId w:val="3"/>
              </w:numPr>
              <w:spacing w:before="0" w:after="36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en-US"/>
              </w:rPr>
            </w:pPr>
            <w:r>
              <w:rPr>
                <w:spacing w:val="-1"/>
                <w:kern w:val="0"/>
                <w:sz w:val="20"/>
                <w:szCs w:val="20"/>
                <w:lang w:val="en-US"/>
              </w:rPr>
              <w:t>Clinical picture characteristic of sarcoidosis-associated uveitis</w:t>
            </w:r>
            <w:r>
              <w:rPr>
                <w:spacing w:val="-1"/>
                <w:kern w:val="0"/>
                <w:sz w:val="20"/>
                <w:szCs w:val="20"/>
              </w:rPr>
              <w:t>:</w:t>
            </w:r>
          </w:p>
          <w:p w14:paraId="010782AF" w14:textId="77777777" w:rsidR="00603C2E" w:rsidRDefault="00000000">
            <w:pPr>
              <w:pStyle w:val="Akapitzlist"/>
              <w:numPr>
                <w:ilvl w:val="0"/>
                <w:numId w:val="4"/>
              </w:numPr>
              <w:spacing w:before="0" w:after="120" w:line="450" w:lineRule="atLeast"/>
              <w:outlineLvl w:val="2"/>
              <w:rPr>
                <w:kern w:val="0"/>
                <w:sz w:val="20"/>
                <w:szCs w:val="20"/>
              </w:rPr>
            </w:pPr>
            <w:proofErr w:type="spellStart"/>
            <w:r>
              <w:rPr>
                <w:kern w:val="0"/>
                <w:sz w:val="20"/>
                <w:szCs w:val="20"/>
              </w:rPr>
              <w:t>Frontal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segment </w:t>
            </w:r>
            <w:proofErr w:type="spellStart"/>
            <w:r>
              <w:rPr>
                <w:kern w:val="0"/>
                <w:sz w:val="20"/>
                <w:szCs w:val="20"/>
              </w:rPr>
              <w:t>uveitis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0"/>
                <w:sz w:val="20"/>
                <w:szCs w:val="20"/>
              </w:rPr>
              <w:t>or</w:t>
            </w:r>
            <w:proofErr w:type="spellEnd"/>
          </w:p>
          <w:p w14:paraId="182D2C13" w14:textId="77777777" w:rsidR="00603C2E" w:rsidRDefault="00000000">
            <w:pPr>
              <w:pStyle w:val="Akapitzlist"/>
              <w:numPr>
                <w:ilvl w:val="0"/>
                <w:numId w:val="4"/>
              </w:numPr>
              <w:spacing w:before="0" w:after="120" w:line="450" w:lineRule="atLeast"/>
              <w:outlineLvl w:val="2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Intermediate or front/intermediate uveitis or</w:t>
            </w:r>
          </w:p>
          <w:p w14:paraId="180086BC" w14:textId="77777777" w:rsidR="00603C2E" w:rsidRDefault="00000000">
            <w:pPr>
              <w:pStyle w:val="Akapitzlist"/>
              <w:numPr>
                <w:ilvl w:val="0"/>
                <w:numId w:val="4"/>
              </w:numPr>
              <w:spacing w:before="0" w:after="120" w:line="450" w:lineRule="atLeast"/>
              <w:outlineLvl w:val="2"/>
              <w:rPr>
                <w:color w:val="734126"/>
                <w:spacing w:val="-1"/>
                <w:kern w:val="0"/>
                <w:sz w:val="20"/>
                <w:szCs w:val="20"/>
                <w:u w:color="734126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Posterior segment NPS with associated choroiditis or</w:t>
            </w:r>
          </w:p>
          <w:p w14:paraId="673D9141" w14:textId="77777777" w:rsidR="00603C2E" w:rsidRDefault="00000000">
            <w:pPr>
              <w:pStyle w:val="Akapitzlist"/>
              <w:numPr>
                <w:ilvl w:val="0"/>
                <w:numId w:val="4"/>
              </w:numPr>
              <w:spacing w:before="0" w:after="120" w:line="450" w:lineRule="atLeast"/>
              <w:outlineLvl w:val="2"/>
              <w:rPr>
                <w:color w:val="734126"/>
                <w:spacing w:val="-1"/>
                <w:kern w:val="0"/>
                <w:sz w:val="20"/>
                <w:szCs w:val="20"/>
                <w:u w:color="734126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Uveitis with choroiditis or retinal vasculitis or retinal vascular obstruction.</w:t>
            </w:r>
          </w:p>
        </w:tc>
      </w:tr>
      <w:tr w:rsidR="00603C2E" w14:paraId="4CD5C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474B" w14:textId="77777777" w:rsidR="00603C2E" w:rsidRDefault="00000000">
            <w:pPr>
              <w:pStyle w:val="Akapitzlist"/>
              <w:numPr>
                <w:ilvl w:val="0"/>
                <w:numId w:val="6"/>
              </w:numPr>
              <w:spacing w:before="120" w:after="36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en-US"/>
              </w:rPr>
            </w:pPr>
            <w:r>
              <w:rPr>
                <w:spacing w:val="-1"/>
                <w:kern w:val="0"/>
                <w:sz w:val="20"/>
                <w:szCs w:val="20"/>
                <w:lang w:val="en-US"/>
              </w:rPr>
              <w:lastRenderedPageBreak/>
              <w:t>Evidence supporting sarcoidosis:</w:t>
            </w:r>
          </w:p>
          <w:p w14:paraId="6CB3B1D4" w14:textId="77777777" w:rsidR="00603C2E" w:rsidRDefault="00603C2E">
            <w:pPr>
              <w:pStyle w:val="Akapitzlist"/>
              <w:spacing w:before="120" w:after="360" w:line="450" w:lineRule="atLeast"/>
              <w:outlineLvl w:val="2"/>
              <w:rPr>
                <w:spacing w:val="-1"/>
                <w:kern w:val="0"/>
                <w:sz w:val="20"/>
                <w:szCs w:val="20"/>
              </w:rPr>
            </w:pPr>
          </w:p>
          <w:p w14:paraId="44BA0AF3" w14:textId="77777777" w:rsidR="00603C2E" w:rsidRDefault="00000000">
            <w:pPr>
              <w:pStyle w:val="Akapitzlist"/>
              <w:numPr>
                <w:ilvl w:val="0"/>
                <w:numId w:val="7"/>
              </w:numPr>
              <w:spacing w:before="360" w:after="720" w:line="240" w:lineRule="auto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Presence of non-serous granulomas found in tissue biopsy or</w:t>
            </w:r>
          </w:p>
          <w:p w14:paraId="3042ECB6" w14:textId="77777777" w:rsidR="00603C2E" w:rsidRDefault="00603C2E">
            <w:pPr>
              <w:pStyle w:val="Akapitzlist"/>
              <w:spacing w:before="360" w:after="720" w:line="240" w:lineRule="auto"/>
              <w:rPr>
                <w:kern w:val="0"/>
                <w:sz w:val="20"/>
                <w:szCs w:val="20"/>
              </w:rPr>
            </w:pPr>
          </w:p>
          <w:p w14:paraId="127FD331" w14:textId="77777777" w:rsidR="00603C2E" w:rsidRDefault="00000000">
            <w:pPr>
              <w:pStyle w:val="Akapitzlist"/>
              <w:numPr>
                <w:ilvl w:val="0"/>
                <w:numId w:val="7"/>
              </w:numPr>
              <w:spacing w:before="240" w:after="360" w:line="240" w:lineRule="auto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Bilateral hilar adenopathy on chest imaging</w:t>
            </w:r>
          </w:p>
        </w:tc>
      </w:tr>
      <w:tr w:rsidR="00603C2E" w14:paraId="020BE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BC08" w14:textId="77777777" w:rsidR="00603C2E" w:rsidRDefault="00000000">
            <w:pPr>
              <w:pStyle w:val="Akapitzlist"/>
              <w:numPr>
                <w:ilvl w:val="0"/>
                <w:numId w:val="9"/>
              </w:numPr>
              <w:spacing w:before="0" w:after="36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fr-FR"/>
              </w:rPr>
            </w:pPr>
            <w:r>
              <w:rPr>
                <w:spacing w:val="-1"/>
                <w:kern w:val="0"/>
                <w:sz w:val="20"/>
                <w:szCs w:val="20"/>
                <w:lang w:val="fr-FR"/>
              </w:rPr>
              <w:t>Exclusion criteria:</w:t>
            </w:r>
          </w:p>
          <w:p w14:paraId="5B9247A9" w14:textId="77777777" w:rsidR="00603C2E" w:rsidRDefault="00000000">
            <w:pPr>
              <w:pStyle w:val="Akapitzlist"/>
              <w:numPr>
                <w:ilvl w:val="0"/>
                <w:numId w:val="10"/>
              </w:numPr>
              <w:spacing w:before="0" w:after="12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Positive serology for syphilis using a spirochete test</w:t>
            </w:r>
          </w:p>
          <w:p w14:paraId="15D4068C" w14:textId="77777777" w:rsidR="00603C2E" w:rsidRDefault="00000000">
            <w:pPr>
              <w:pStyle w:val="Akapitzlist"/>
              <w:numPr>
                <w:ilvl w:val="0"/>
                <w:numId w:val="10"/>
              </w:numPr>
              <w:spacing w:before="0" w:after="120" w:line="450" w:lineRule="atLeast"/>
              <w:outlineLvl w:val="2"/>
              <w:rPr>
                <w:spacing w:val="-1"/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Confirmed Mycobacterium tuberculosis infection</w:t>
            </w:r>
          </w:p>
        </w:tc>
      </w:tr>
    </w:tbl>
    <w:p w14:paraId="1ED3C11A" w14:textId="77777777" w:rsidR="00603C2E" w:rsidRDefault="00603C2E">
      <w:pPr>
        <w:widowControl w:val="0"/>
        <w:spacing w:before="0" w:after="360" w:line="240" w:lineRule="auto"/>
        <w:ind w:left="0"/>
        <w:outlineLvl w:val="2"/>
      </w:pPr>
    </w:p>
    <w:p w14:paraId="3CA3CB81" w14:textId="77777777" w:rsidR="00603C2E" w:rsidRDefault="00000000">
      <w:pPr>
        <w:spacing w:before="0" w:after="360" w:line="450" w:lineRule="atLeast"/>
        <w:ind w:left="0"/>
        <w:outlineLvl w:val="2"/>
        <w:rPr>
          <w:color w:val="333333"/>
          <w:kern w:val="0"/>
          <w:sz w:val="24"/>
          <w:szCs w:val="24"/>
          <w:u w:color="333333"/>
        </w:rPr>
      </w:pPr>
      <w:r>
        <w:rPr>
          <w:color w:val="333333"/>
          <w:kern w:val="0"/>
          <w:sz w:val="24"/>
          <w:szCs w:val="24"/>
          <w:u w:color="333333"/>
        </w:rPr>
        <w:t>Table 3.</w:t>
      </w:r>
      <w:r>
        <w:rPr>
          <w:color w:val="333333"/>
          <w:kern w:val="0"/>
          <w:sz w:val="24"/>
          <w:szCs w:val="24"/>
          <w:u w:color="333333"/>
          <w:lang w:val="en-US"/>
        </w:rPr>
        <w:t xml:space="preserve"> McDonald's 2017 criteria for diagnosis of multiple sclerosis (MS). [54].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3C2E" w14:paraId="396B3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E229" w14:textId="77777777" w:rsidR="00603C2E" w:rsidRDefault="00000000">
            <w:pPr>
              <w:spacing w:after="200"/>
              <w:ind w:left="0"/>
            </w:pPr>
            <w:r>
              <w:rPr>
                <w:b/>
                <w:bCs/>
                <w:color w:val="333333"/>
                <w:kern w:val="0"/>
                <w:u w:color="333333"/>
                <w:lang w:val="en-US"/>
              </w:rPr>
              <w:t>It is essential to demonstrate the spread of central nervous system (CNS) lesions in space and time.</w:t>
            </w:r>
          </w:p>
        </w:tc>
      </w:tr>
      <w:tr w:rsidR="00603C2E" w14:paraId="7935F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600A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b/>
                <w:bCs/>
                <w:color w:val="333333"/>
                <w:kern w:val="0"/>
                <w:u w:color="333333"/>
                <w:lang w:val="en-US"/>
              </w:rPr>
              <w:t>Number of attacks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40E4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b/>
                <w:bCs/>
                <w:color w:val="333333"/>
                <w:kern w:val="0"/>
                <w:u w:color="333333"/>
                <w:lang w:val="en-US"/>
              </w:rPr>
              <w:t>Clinical presentation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3BD4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b/>
                <w:bCs/>
                <w:color w:val="333333"/>
                <w:kern w:val="0"/>
                <w:u w:color="333333"/>
                <w:lang w:val="en-US"/>
              </w:rPr>
              <w:t>Additional diagnostic criteria</w:t>
            </w:r>
          </w:p>
        </w:tc>
      </w:tr>
      <w:tr w:rsidR="00603C2E" w14:paraId="637C8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E70A" w14:textId="77777777" w:rsidR="00603C2E" w:rsidRDefault="00000000">
            <w:pPr>
              <w:spacing w:before="0" w:after="200" w:line="240" w:lineRule="auto"/>
              <w:ind w:left="0"/>
              <w:jc w:val="center"/>
            </w:pPr>
            <w:r>
              <w:rPr>
                <w:kern w:val="0"/>
                <w:sz w:val="20"/>
                <w:szCs w:val="20"/>
              </w:rPr>
              <w:t>≥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3316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  <w:lang w:val="en-US"/>
              </w:rPr>
              <w:t xml:space="preserve">Clinical signs indicating </w:t>
            </w:r>
            <w:r>
              <w:rPr>
                <w:kern w:val="0"/>
                <w:sz w:val="20"/>
                <w:szCs w:val="20"/>
              </w:rPr>
              <w:t xml:space="preserve">≥ </w:t>
            </w:r>
            <w:r>
              <w:rPr>
                <w:kern w:val="0"/>
                <w:sz w:val="20"/>
                <w:szCs w:val="20"/>
                <w:lang w:val="en-US"/>
              </w:rPr>
              <w:t>2 foci of CNS damage or clinical evidence of 1 lesion with historical evidence of a previous attack involving a lesion in another location.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C5A2" w14:textId="77777777" w:rsidR="00603C2E" w:rsidRDefault="00603C2E">
            <w:pPr>
              <w:spacing w:before="0" w:after="200" w:line="240" w:lineRule="auto"/>
              <w:ind w:left="0"/>
              <w:jc w:val="center"/>
              <w:rPr>
                <w:color w:val="333333"/>
                <w:kern w:val="0"/>
                <w:sz w:val="20"/>
                <w:szCs w:val="20"/>
                <w:u w:color="333333"/>
              </w:rPr>
            </w:pPr>
          </w:p>
          <w:p w14:paraId="6238AE64" w14:textId="77777777" w:rsidR="00603C2E" w:rsidRDefault="00603C2E">
            <w:pPr>
              <w:spacing w:before="0" w:after="200" w:line="240" w:lineRule="auto"/>
              <w:ind w:left="0"/>
              <w:jc w:val="center"/>
              <w:rPr>
                <w:color w:val="333333"/>
                <w:kern w:val="0"/>
                <w:sz w:val="20"/>
                <w:szCs w:val="20"/>
                <w:u w:color="333333"/>
              </w:rPr>
            </w:pPr>
          </w:p>
          <w:p w14:paraId="33872AAA" w14:textId="77777777" w:rsidR="00603C2E" w:rsidRDefault="00000000">
            <w:pPr>
              <w:spacing w:before="0" w:after="200" w:line="240" w:lineRule="auto"/>
              <w:ind w:left="0"/>
              <w:jc w:val="center"/>
            </w:pPr>
            <w:r>
              <w:rPr>
                <w:color w:val="333333"/>
                <w:kern w:val="0"/>
                <w:sz w:val="20"/>
                <w:szCs w:val="20"/>
                <w:u w:color="333333"/>
                <w:lang w:val="en-US"/>
              </w:rPr>
              <w:t>_</w:t>
            </w:r>
          </w:p>
        </w:tc>
      </w:tr>
      <w:tr w:rsidR="00603C2E" w14:paraId="323AA7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3323" w14:textId="77777777" w:rsidR="00603C2E" w:rsidRDefault="00000000">
            <w:pPr>
              <w:spacing w:before="0" w:after="200" w:line="240" w:lineRule="auto"/>
              <w:ind w:left="0"/>
              <w:jc w:val="center"/>
            </w:pPr>
            <w:r>
              <w:rPr>
                <w:kern w:val="0"/>
                <w:sz w:val="20"/>
                <w:szCs w:val="20"/>
              </w:rPr>
              <w:t>≥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92F8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  <w:lang w:val="en-US"/>
              </w:rPr>
              <w:t>Clinical evidence of 1 focus of CNS damage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F1FC" w14:textId="77777777" w:rsidR="00603C2E" w:rsidRDefault="00000000">
            <w:pPr>
              <w:spacing w:before="0" w:after="200" w:line="240" w:lineRule="auto"/>
              <w:ind w:left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/>
              </w:rPr>
              <w:t>Spreading through space:</w:t>
            </w:r>
          </w:p>
          <w:p w14:paraId="09202BBD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</w:rPr>
              <w:t>• with an a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dditional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clinical attack involving another location</w:t>
            </w:r>
            <w:r>
              <w:rPr>
                <w:kern w:val="0"/>
                <w:sz w:val="20"/>
                <w:szCs w:val="20"/>
              </w:rPr>
              <w:br/>
              <w:t xml:space="preserve">• ≥ </w:t>
            </w:r>
            <w:r>
              <w:rPr>
                <w:kern w:val="0"/>
                <w:sz w:val="20"/>
                <w:szCs w:val="20"/>
                <w:lang w:val="en-US"/>
              </w:rPr>
              <w:t xml:space="preserve">1 hyperintense lesion characteristic of MS on T2-weighted MR images in </w:t>
            </w:r>
            <w:r>
              <w:rPr>
                <w:kern w:val="0"/>
                <w:sz w:val="20"/>
                <w:szCs w:val="20"/>
              </w:rPr>
              <w:t xml:space="preserve">≥ </w:t>
            </w:r>
            <w:r>
              <w:rPr>
                <w:kern w:val="0"/>
                <w:sz w:val="20"/>
                <w:szCs w:val="20"/>
                <w:lang w:val="en-US"/>
              </w:rPr>
              <w:t xml:space="preserve">2 CNS areas: periventricular, cortical, </w:t>
            </w:r>
            <w:r>
              <w:rPr>
                <w:kern w:val="0"/>
                <w:sz w:val="20"/>
                <w:szCs w:val="20"/>
                <w:lang w:val="en-US"/>
              </w:rPr>
              <w:lastRenderedPageBreak/>
              <w:t>periventricular, subthalamic, or spinal cord</w:t>
            </w:r>
          </w:p>
        </w:tc>
      </w:tr>
      <w:tr w:rsidR="00603C2E" w14:paraId="78BE9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5DA4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  <w:lang w:val="it-IT"/>
              </w:rPr>
              <w:lastRenderedPageBreak/>
              <w:t>1 attack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0B2E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</w:rPr>
              <w:t xml:space="preserve">≥ </w:t>
            </w:r>
            <w:r>
              <w:rPr>
                <w:kern w:val="0"/>
                <w:sz w:val="20"/>
                <w:szCs w:val="20"/>
                <w:lang w:val="en-US"/>
              </w:rPr>
              <w:t>2 foci of CNS damage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E32A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kern w:val="0"/>
                <w:sz w:val="20"/>
                <w:szCs w:val="20"/>
                <w:lang w:val="en-US"/>
              </w:rPr>
              <w:t>Spread over time, confirmed:</w:t>
            </w:r>
            <w:r>
              <w:rPr>
                <w:kern w:val="0"/>
                <w:sz w:val="20"/>
                <w:szCs w:val="20"/>
              </w:rPr>
              <w:br/>
              <w:t>• with an a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dditional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clinical attack</w:t>
            </w:r>
            <w:r>
              <w:rPr>
                <w:kern w:val="0"/>
                <w:sz w:val="20"/>
                <w:szCs w:val="20"/>
              </w:rPr>
              <w:br/>
              <w:t xml:space="preserve">• with </w:t>
            </w:r>
            <w:r>
              <w:rPr>
                <w:kern w:val="0"/>
                <w:sz w:val="20"/>
                <w:szCs w:val="20"/>
                <w:lang w:val="en-US"/>
              </w:rPr>
              <w:t xml:space="preserve">MRI examination </w:t>
            </w:r>
            <w:r>
              <w:rPr>
                <w:kern w:val="0"/>
                <w:sz w:val="20"/>
                <w:szCs w:val="20"/>
                <w:vertAlign w:val="superscript"/>
              </w:rPr>
              <w:t>1</w:t>
            </w:r>
            <w:r>
              <w:rPr>
                <w:kern w:val="0"/>
                <w:sz w:val="20"/>
                <w:szCs w:val="20"/>
              </w:rPr>
              <w:br/>
              <w:t>• o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ligoclonal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striations in the cerebrospinal fluid</w:t>
            </w:r>
          </w:p>
        </w:tc>
      </w:tr>
      <w:tr w:rsidR="00603C2E" w14:paraId="1F1F14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FE91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color w:val="333333"/>
                <w:kern w:val="0"/>
                <w:sz w:val="20"/>
                <w:szCs w:val="20"/>
                <w:u w:color="333333"/>
                <w:lang w:val="da-DK"/>
              </w:rPr>
              <w:t>1 at</w:t>
            </w:r>
            <w:r>
              <w:rPr>
                <w:color w:val="333333"/>
                <w:kern w:val="0"/>
                <w:sz w:val="20"/>
                <w:szCs w:val="20"/>
                <w:u w:color="333333"/>
              </w:rPr>
              <w:t>tack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C709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color w:val="333333"/>
                <w:kern w:val="0"/>
                <w:sz w:val="20"/>
                <w:szCs w:val="20"/>
                <w:u w:color="333333"/>
                <w:lang w:val="ru-RU"/>
              </w:rPr>
              <w:t xml:space="preserve">1 </w:t>
            </w:r>
            <w:r>
              <w:rPr>
                <w:kern w:val="0"/>
                <w:sz w:val="20"/>
                <w:szCs w:val="20"/>
              </w:rPr>
              <w:t>focus of CNS damage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6D40" w14:textId="77777777" w:rsidR="00603C2E" w:rsidRDefault="00000000">
            <w:pPr>
              <w:spacing w:before="0" w:after="360" w:line="240" w:lineRule="auto"/>
              <w:ind w:left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/>
              </w:rPr>
              <w:t>Spread over time, confirmed: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br/>
              <w:t>• a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dditional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clinical attack in another CNS location confirmed by MRI scan</w:t>
            </w:r>
          </w:p>
          <w:p w14:paraId="6F9406F1" w14:textId="77777777" w:rsidR="00603C2E" w:rsidRDefault="00000000">
            <w:pPr>
              <w:spacing w:before="0" w:after="360" w:line="240" w:lineRule="auto"/>
              <w:ind w:left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and</w:t>
            </w:r>
          </w:p>
          <w:p w14:paraId="1CDB2B76" w14:textId="77777777" w:rsidR="00603C2E" w:rsidRDefault="00000000">
            <w:pPr>
              <w:spacing w:before="0" w:after="360" w:line="240" w:lineRule="auto"/>
              <w:ind w:left="0"/>
            </w:pPr>
            <w:r>
              <w:rPr>
                <w:kern w:val="0"/>
                <w:sz w:val="20"/>
                <w:szCs w:val="20"/>
                <w:lang w:val="en-US"/>
              </w:rPr>
              <w:t>Spread over time, confirmed:</w:t>
            </w:r>
            <w:r>
              <w:rPr>
                <w:kern w:val="0"/>
                <w:sz w:val="20"/>
                <w:szCs w:val="20"/>
              </w:rPr>
              <w:br/>
              <w:t>• with an a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dditional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clinical attack</w:t>
            </w:r>
            <w:r>
              <w:rPr>
                <w:kern w:val="0"/>
                <w:sz w:val="20"/>
                <w:szCs w:val="20"/>
              </w:rPr>
              <w:br/>
              <w:t xml:space="preserve">• with </w:t>
            </w:r>
            <w:r>
              <w:rPr>
                <w:kern w:val="0"/>
                <w:sz w:val="20"/>
                <w:szCs w:val="20"/>
                <w:lang w:val="en-US"/>
              </w:rPr>
              <w:t xml:space="preserve">MRI examination </w:t>
            </w:r>
            <w:r>
              <w:rPr>
                <w:kern w:val="0"/>
                <w:sz w:val="20"/>
                <w:szCs w:val="20"/>
                <w:vertAlign w:val="superscript"/>
              </w:rPr>
              <w:t>1</w:t>
            </w:r>
            <w:r>
              <w:rPr>
                <w:kern w:val="0"/>
                <w:sz w:val="20"/>
                <w:szCs w:val="20"/>
              </w:rPr>
              <w:br/>
              <w:t>• o</w:t>
            </w:r>
            <w:proofErr w:type="spellStart"/>
            <w:r>
              <w:rPr>
                <w:kern w:val="0"/>
                <w:sz w:val="20"/>
                <w:szCs w:val="20"/>
                <w:lang w:val="en-US"/>
              </w:rPr>
              <w:t>ligoclonal</w:t>
            </w:r>
            <w:proofErr w:type="spellEnd"/>
            <w:r>
              <w:rPr>
                <w:kern w:val="0"/>
                <w:sz w:val="20"/>
                <w:szCs w:val="20"/>
                <w:lang w:val="en-US"/>
              </w:rPr>
              <w:t xml:space="preserve"> striations in the cerebrospinal fluid</w:t>
            </w:r>
          </w:p>
        </w:tc>
      </w:tr>
      <w:tr w:rsidR="00603C2E" w14:paraId="283C76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3D89" w14:textId="77777777" w:rsidR="00603C2E" w:rsidRDefault="00000000">
            <w:pPr>
              <w:spacing w:before="0" w:after="200" w:line="240" w:lineRule="auto"/>
              <w:ind w:left="0"/>
            </w:pPr>
            <w:r>
              <w:rPr>
                <w:color w:val="333333"/>
                <w:kern w:val="0"/>
                <w:sz w:val="18"/>
                <w:szCs w:val="18"/>
                <w:u w:color="333333"/>
                <w:vertAlign w:val="superscript"/>
              </w:rPr>
              <w:t>1</w:t>
            </w:r>
            <w:r>
              <w:rPr>
                <w:color w:val="333333"/>
                <w:kern w:val="0"/>
                <w:sz w:val="18"/>
                <w:szCs w:val="18"/>
                <w:u w:color="333333"/>
                <w:lang w:val="en-US"/>
              </w:rPr>
              <w:t xml:space="preserve">  Simultaneous presence of enhancing and non-enhancing lesions after gadolinium administration at any time or by a new hyperintense lesion on T2 or with gadolinium enhancement on follow-up MRI, with respect to the baseline study, regardless of the timing of the baseline MRI study</w:t>
            </w:r>
          </w:p>
        </w:tc>
      </w:tr>
    </w:tbl>
    <w:p w14:paraId="32AD363A" w14:textId="77777777" w:rsidR="00603C2E" w:rsidRDefault="00603C2E">
      <w:pPr>
        <w:widowControl w:val="0"/>
        <w:spacing w:before="0" w:after="360" w:line="240" w:lineRule="auto"/>
        <w:ind w:left="0"/>
        <w:outlineLvl w:val="2"/>
        <w:rPr>
          <w:color w:val="333333"/>
          <w:kern w:val="0"/>
          <w:sz w:val="24"/>
          <w:szCs w:val="24"/>
          <w:u w:color="333333"/>
        </w:rPr>
      </w:pPr>
    </w:p>
    <w:p w14:paraId="3A062E01" w14:textId="77777777" w:rsidR="00603C2E" w:rsidRDefault="00000000">
      <w:pPr>
        <w:spacing w:before="0" w:after="360" w:line="450" w:lineRule="atLeast"/>
        <w:ind w:left="0"/>
        <w:outlineLvl w:val="2"/>
        <w:rPr>
          <w:spacing w:val="-2"/>
          <w:kern w:val="0"/>
          <w:sz w:val="24"/>
          <w:szCs w:val="24"/>
        </w:rPr>
      </w:pPr>
      <w:bookmarkStart w:id="0" w:name="_Hlk151128581"/>
      <w:r>
        <w:rPr>
          <w:spacing w:val="-2"/>
          <w:kern w:val="0"/>
          <w:sz w:val="24"/>
          <w:szCs w:val="24"/>
          <w:lang w:val="en-US"/>
        </w:rPr>
        <w:t>Table 4. Eales disease — differential diagnosis [60].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03C2E" w14:paraId="4C925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BB86" w14:textId="77777777" w:rsidR="00603C2E" w:rsidRDefault="00000000">
            <w:pPr>
              <w:spacing w:after="360" w:line="450" w:lineRule="atLeast"/>
              <w:ind w:left="0"/>
              <w:outlineLvl w:val="2"/>
            </w:pPr>
            <w:r>
              <w:rPr>
                <w:b/>
                <w:bCs/>
                <w:kern w:val="0"/>
                <w:lang w:val="en-US"/>
              </w:rPr>
              <w:t>A disease entity with which Eales disease should be differentiated: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D161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b/>
                <w:bCs/>
                <w:kern w:val="0"/>
              </w:rPr>
              <w:t xml:space="preserve">badania laboratoryjne: </w:t>
            </w:r>
          </w:p>
        </w:tc>
      </w:tr>
      <w:tr w:rsidR="00603C2E" w14:paraId="763A6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A904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pacing w:val="-1"/>
                <w:kern w:val="0"/>
                <w:sz w:val="20"/>
                <w:szCs w:val="20"/>
                <w:lang w:val="en-US"/>
              </w:rPr>
              <w:t>Leukemia, other hematological disorders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B659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  <w:lang w:val="en-US"/>
              </w:rPr>
              <w:t>CBC, erythrocyte sedimentation rate (ESR), blood sugar and coagulation profile</w:t>
            </w:r>
          </w:p>
        </w:tc>
      </w:tr>
      <w:tr w:rsidR="00603C2E" w14:paraId="038FF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5E4A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pacing w:val="-1"/>
                <w:kern w:val="0"/>
                <w:sz w:val="20"/>
                <w:szCs w:val="20"/>
                <w:lang w:val="es-ES_tradnl"/>
              </w:rPr>
              <w:lastRenderedPageBreak/>
              <w:t>Tuberculosis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2137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  <w:lang w:val="en-US"/>
              </w:rPr>
              <w:t>High-resolution computed tomography (HRCT) of the chest, chest X-ray and Mantoux test</w:t>
            </w:r>
          </w:p>
        </w:tc>
      </w:tr>
      <w:tr w:rsidR="00603C2E" w14:paraId="4ECE1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AE1D2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pacing w:val="-1"/>
                <w:kern w:val="0"/>
                <w:sz w:val="20"/>
                <w:szCs w:val="20"/>
                <w:lang w:val="en-US"/>
              </w:rPr>
              <w:t>Sickle cell retinopathy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1199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</w:rPr>
              <w:t>hemoglobin electrophoresis</w:t>
            </w:r>
          </w:p>
        </w:tc>
      </w:tr>
      <w:tr w:rsidR="00603C2E" w14:paraId="7368B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712D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pacing w:val="-1"/>
                <w:kern w:val="0"/>
                <w:sz w:val="20"/>
                <w:szCs w:val="20"/>
                <w:lang w:val="es-ES_tradnl"/>
              </w:rPr>
              <w:t>Sarcoidosis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6A5F1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  <w:lang w:val="en-US"/>
              </w:rPr>
              <w:t>Angiotensin-converting enzyme, HRCT of the chest</w:t>
            </w:r>
          </w:p>
        </w:tc>
      </w:tr>
      <w:tr w:rsidR="00603C2E" w14:paraId="1112C4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D279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  <w:lang w:val="en-US"/>
              </w:rPr>
              <w:t>Systemic lupus erythematosus (SLE)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17A4" w14:textId="77777777" w:rsidR="00603C2E" w:rsidRDefault="00000000">
            <w:pPr>
              <w:pStyle w:val="NormalnyWeb"/>
              <w:shd w:val="clear" w:color="auto" w:fill="FFFFFF"/>
              <w:spacing w:before="166" w:after="360"/>
            </w:pPr>
            <w:r>
              <w:rPr>
                <w:rFonts w:ascii="Calibri" w:hAnsi="Calibri"/>
                <w:sz w:val="20"/>
                <w:szCs w:val="20"/>
              </w:rPr>
              <w:t>determination of antinuclear antibodies in serum</w:t>
            </w:r>
          </w:p>
        </w:tc>
      </w:tr>
      <w:tr w:rsidR="00603C2E" w14:paraId="5D8322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2966" w14:textId="77777777" w:rsidR="00603C2E" w:rsidRDefault="00000000">
            <w:pPr>
              <w:spacing w:before="0" w:after="360" w:line="450" w:lineRule="atLeast"/>
              <w:ind w:left="0"/>
              <w:outlineLvl w:val="2"/>
            </w:pPr>
            <w:r>
              <w:rPr>
                <w:sz w:val="20"/>
                <w:szCs w:val="20"/>
              </w:rPr>
              <w:t>Syphilis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FBAE" w14:textId="77777777" w:rsidR="00603C2E" w:rsidRDefault="00000000">
            <w:pPr>
              <w:pStyle w:val="NormalnyWeb"/>
              <w:shd w:val="clear" w:color="auto" w:fill="FFFFFF"/>
              <w:spacing w:before="166" w:after="360"/>
            </w:pPr>
            <w:r>
              <w:rPr>
                <w:rFonts w:ascii="Calibri" w:hAnsi="Calibri"/>
                <w:sz w:val="20"/>
                <w:szCs w:val="20"/>
              </w:rPr>
              <w:t>VDRL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Veneral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Disease Research Laboratory) microscopic flocculation test, Treponema pallidum hemagglutination assay (TPHA)</w:t>
            </w:r>
          </w:p>
        </w:tc>
      </w:tr>
      <w:bookmarkEnd w:id="0"/>
    </w:tbl>
    <w:p w14:paraId="0AE06480" w14:textId="77777777" w:rsidR="00603C2E" w:rsidRDefault="00603C2E">
      <w:pPr>
        <w:widowControl w:val="0"/>
        <w:spacing w:before="0" w:after="360" w:line="240" w:lineRule="auto"/>
        <w:ind w:left="0"/>
        <w:outlineLvl w:val="2"/>
      </w:pPr>
    </w:p>
    <w:sectPr w:rsidR="00603C2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BC4E" w14:textId="77777777" w:rsidR="00595A11" w:rsidRDefault="00595A11">
      <w:pPr>
        <w:spacing w:before="0" w:after="0" w:line="240" w:lineRule="auto"/>
      </w:pPr>
      <w:r>
        <w:separator/>
      </w:r>
    </w:p>
  </w:endnote>
  <w:endnote w:type="continuationSeparator" w:id="0">
    <w:p w14:paraId="555A5448" w14:textId="77777777" w:rsidR="00595A11" w:rsidRDefault="00595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D7FD" w14:textId="77777777" w:rsidR="00603C2E" w:rsidRDefault="00000000">
    <w:pPr>
      <w:pStyle w:val="Stopka"/>
      <w:tabs>
        <w:tab w:val="clear" w:pos="9072"/>
        <w:tab w:val="right" w:pos="9046"/>
      </w:tabs>
      <w:spacing w:after="360"/>
      <w:jc w:val="right"/>
    </w:pPr>
    <w:r>
      <w:fldChar w:fldCharType="begin"/>
    </w:r>
    <w:r>
      <w:instrText xml:space="preserve"> PAGE </w:instrText>
    </w:r>
    <w:r>
      <w:fldChar w:fldCharType="separate"/>
    </w:r>
    <w:r w:rsidR="00D33D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40CB" w14:textId="77777777" w:rsidR="00595A11" w:rsidRDefault="00595A11">
      <w:pPr>
        <w:spacing w:before="0" w:after="0" w:line="240" w:lineRule="auto"/>
      </w:pPr>
      <w:r>
        <w:separator/>
      </w:r>
    </w:p>
  </w:footnote>
  <w:footnote w:type="continuationSeparator" w:id="0">
    <w:p w14:paraId="7F528E9F" w14:textId="77777777" w:rsidR="00595A11" w:rsidRDefault="00595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CDE5" w14:textId="77777777" w:rsidR="00603C2E" w:rsidRDefault="00603C2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61A"/>
    <w:multiLevelType w:val="hybridMultilevel"/>
    <w:tmpl w:val="FDF8A59C"/>
    <w:lvl w:ilvl="0" w:tplc="DE62F4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693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C12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CC24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CFE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8817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E52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A62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00B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117FE"/>
    <w:multiLevelType w:val="hybridMultilevel"/>
    <w:tmpl w:val="2F52CA9A"/>
    <w:lvl w:ilvl="0" w:tplc="207445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885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4471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B03E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231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843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368D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8BE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E6F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647C0E"/>
    <w:multiLevelType w:val="hybridMultilevel"/>
    <w:tmpl w:val="E4481DEC"/>
    <w:lvl w:ilvl="0" w:tplc="7264D8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F8C1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DC14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D232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D663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6A64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984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7403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2C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4551D2"/>
    <w:multiLevelType w:val="hybridMultilevel"/>
    <w:tmpl w:val="31BA04BA"/>
    <w:lvl w:ilvl="0" w:tplc="BD4E09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AEF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02C10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CE1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9885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A34E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A2D3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C0E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54BE2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1036D3"/>
    <w:multiLevelType w:val="hybridMultilevel"/>
    <w:tmpl w:val="E6AC1870"/>
    <w:lvl w:ilvl="0" w:tplc="E54417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26D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AD1C0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26B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769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6207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AE4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F4F6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A8AD2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705BB1"/>
    <w:multiLevelType w:val="hybridMultilevel"/>
    <w:tmpl w:val="B0B801BE"/>
    <w:lvl w:ilvl="0" w:tplc="4BE4C4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880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82B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04E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80F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2A20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A2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72F6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12D6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1445EE"/>
    <w:multiLevelType w:val="hybridMultilevel"/>
    <w:tmpl w:val="0E262534"/>
    <w:lvl w:ilvl="0" w:tplc="ADD434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C0D8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0B0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0809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6BF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03C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94E7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A881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851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C397585"/>
    <w:multiLevelType w:val="hybridMultilevel"/>
    <w:tmpl w:val="72742B94"/>
    <w:lvl w:ilvl="0" w:tplc="343A05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12D9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456F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845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E85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CADA6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7C8E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625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B4BCF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01205995">
    <w:abstractNumId w:val="0"/>
  </w:num>
  <w:num w:numId="2" w16cid:durableId="350188112">
    <w:abstractNumId w:val="6"/>
  </w:num>
  <w:num w:numId="3" w16cid:durableId="1648128988">
    <w:abstractNumId w:val="4"/>
  </w:num>
  <w:num w:numId="4" w16cid:durableId="382294463">
    <w:abstractNumId w:val="5"/>
  </w:num>
  <w:num w:numId="5" w16cid:durableId="1002316071">
    <w:abstractNumId w:val="3"/>
  </w:num>
  <w:num w:numId="6" w16cid:durableId="128984560">
    <w:abstractNumId w:val="3"/>
    <w:lvlOverride w:ilvl="0">
      <w:startOverride w:val="2"/>
    </w:lvlOverride>
  </w:num>
  <w:num w:numId="7" w16cid:durableId="1517966828">
    <w:abstractNumId w:val="2"/>
  </w:num>
  <w:num w:numId="8" w16cid:durableId="1404256307">
    <w:abstractNumId w:val="7"/>
  </w:num>
  <w:num w:numId="9" w16cid:durableId="576135681">
    <w:abstractNumId w:val="7"/>
    <w:lvlOverride w:ilvl="0">
      <w:startOverride w:val="3"/>
    </w:lvlOverride>
  </w:num>
  <w:num w:numId="10" w16cid:durableId="101600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2E"/>
    <w:rsid w:val="00595A11"/>
    <w:rsid w:val="00603C2E"/>
    <w:rsid w:val="00D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08C9"/>
  <w15:docId w15:val="{A46358DA-CE9E-4AD5-BEF1-480F689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30" w:after="150" w:line="259" w:lineRule="auto"/>
      <w:ind w:left="1066"/>
    </w:pPr>
    <w:rPr>
      <w:rFonts w:ascii="Calibri" w:hAnsi="Calibri" w:cs="Arial Unicode MS"/>
      <w:color w:val="000000"/>
      <w:kern w:val="2"/>
      <w:sz w:val="22"/>
      <w:szCs w:val="22"/>
      <w:u w:color="00000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ind w:left="1066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Akapitzlist">
    <w:name w:val="List Paragraph"/>
    <w:pPr>
      <w:spacing w:before="30" w:after="15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Oliwia</dc:creator>
  <cp:lastModifiedBy>Oliwia Zdanowska</cp:lastModifiedBy>
  <cp:revision>2</cp:revision>
  <dcterms:created xsi:type="dcterms:W3CDTF">2024-01-13T10:01:00Z</dcterms:created>
  <dcterms:modified xsi:type="dcterms:W3CDTF">2024-01-13T10:01:00Z</dcterms:modified>
</cp:coreProperties>
</file>