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spacing w:after="200" w:line="276" w:lineRule="auto"/>
        <w:jc w:val="both"/>
        <w:rPr>
          <w:outline w:val="0"/>
          <w:color w:val="000000"/>
          <w:u w:color="000000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:lang w:val="en-US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Table 1. Threshold values of electric excitability of the pulp (E) and </w:t>
      </w:r>
      <w:r>
        <w:rPr>
          <w:rStyle w:val="alt-edited"/>
          <w:rtl w:val="0"/>
          <w:lang w:val="en-US"/>
        </w:rPr>
        <w:t>pulp response to cold thermal stimulus (T) and LDF results obtained in subsequent clinical trials</w:t>
      </w:r>
    </w:p>
    <w:tbl>
      <w:tblPr>
        <w:tblW w:w="14572" w:type="dxa"/>
        <w:jc w:val="left"/>
        <w:tblInd w:w="11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3151"/>
        <w:gridCol w:w="3541"/>
        <w:gridCol w:w="2050"/>
        <w:gridCol w:w="1854"/>
        <w:gridCol w:w="1903"/>
        <w:gridCol w:w="2073"/>
      </w:tblGrid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31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708"/>
                <w:tab w:val="left" w:pos="1416"/>
                <w:tab w:val="left" w:pos="2124"/>
              </w:tabs>
              <w:jc w:val="center"/>
            </w:pPr>
            <w:r>
              <w:rPr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Tooth No.</w:t>
            </w:r>
          </w:p>
        </w:tc>
        <w:tc>
          <w:tcPr>
            <w:tcW w:type="dxa" w:w="354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0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708"/>
                <w:tab w:val="left" w:pos="1416"/>
              </w:tabs>
              <w:jc w:val="center"/>
            </w:pPr>
            <w:r>
              <w:rPr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47</w:t>
            </w:r>
          </w:p>
        </w:tc>
        <w:tc>
          <w:tcPr>
            <w:tcW w:type="dxa" w:w="18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708"/>
                <w:tab w:val="left" w:pos="1416"/>
              </w:tabs>
              <w:jc w:val="center"/>
            </w:pPr>
            <w:r>
              <w:rPr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46</w:t>
            </w:r>
          </w:p>
        </w:tc>
        <w:tc>
          <w:tcPr>
            <w:tcW w:type="dxa" w:w="19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708"/>
                <w:tab w:val="left" w:pos="1416"/>
              </w:tabs>
              <w:jc w:val="center"/>
            </w:pPr>
            <w:r>
              <w:rPr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36</w:t>
            </w:r>
          </w:p>
        </w:tc>
        <w:tc>
          <w:tcPr>
            <w:tcW w:type="dxa" w:w="20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708"/>
                <w:tab w:val="left" w:pos="1416"/>
              </w:tabs>
              <w:jc w:val="center"/>
            </w:pPr>
            <w:r>
              <w:rPr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37</w:t>
            </w:r>
          </w:p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3151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708"/>
                <w:tab w:val="left" w:pos="1416"/>
                <w:tab w:val="left" w:pos="2124"/>
              </w:tabs>
              <w:jc w:val="center"/>
            </w:pPr>
            <w:r>
              <w:rPr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First visit examination</w:t>
            </w:r>
          </w:p>
        </w:tc>
        <w:tc>
          <w:tcPr>
            <w:tcW w:type="dxa" w:w="354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</w:pPr>
            <w:r>
              <w:rPr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E</w:t>
            </w:r>
          </w:p>
        </w:tc>
        <w:tc>
          <w:tcPr>
            <w:tcW w:type="dxa" w:w="20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56</w:t>
            </w:r>
          </w:p>
        </w:tc>
        <w:tc>
          <w:tcPr>
            <w:tcW w:type="dxa" w:w="18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-</w:t>
            </w:r>
          </w:p>
        </w:tc>
        <w:tc>
          <w:tcPr>
            <w:tcW w:type="dxa" w:w="19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64</w:t>
            </w:r>
          </w:p>
        </w:tc>
        <w:tc>
          <w:tcPr>
            <w:tcW w:type="dxa" w:w="20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59</w:t>
            </w:r>
          </w:p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315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</w:tcPr>
          <w:p/>
        </w:tc>
        <w:tc>
          <w:tcPr>
            <w:tcW w:type="dxa" w:w="354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T</w:t>
            </w:r>
          </w:p>
        </w:tc>
        <w:tc>
          <w:tcPr>
            <w:tcW w:type="dxa" w:w="20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(+)</w:t>
            </w:r>
          </w:p>
        </w:tc>
        <w:tc>
          <w:tcPr>
            <w:tcW w:type="dxa" w:w="18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708"/>
                <w:tab w:val="left" w:pos="1416"/>
              </w:tabs>
              <w:jc w:val="center"/>
            </w:pPr>
            <w:r>
              <w:rPr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(-)</w:t>
            </w:r>
          </w:p>
        </w:tc>
        <w:tc>
          <w:tcPr>
            <w:tcW w:type="dxa" w:w="19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(+)</w:t>
            </w:r>
          </w:p>
        </w:tc>
        <w:tc>
          <w:tcPr>
            <w:tcW w:type="dxa" w:w="20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(+)</w:t>
            </w:r>
          </w:p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315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</w:tcPr>
          <w:p/>
        </w:tc>
        <w:tc>
          <w:tcPr>
            <w:tcW w:type="dxa" w:w="354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LDF PU +- SD</w:t>
            </w:r>
          </w:p>
        </w:tc>
        <w:tc>
          <w:tcPr>
            <w:tcW w:type="dxa" w:w="20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4 +- 1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3</w:t>
            </w:r>
          </w:p>
        </w:tc>
        <w:tc>
          <w:tcPr>
            <w:tcW w:type="dxa" w:w="18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-</w:t>
            </w:r>
          </w:p>
        </w:tc>
        <w:tc>
          <w:tcPr>
            <w:tcW w:type="dxa" w:w="19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.9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 +- 2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.5</w:t>
            </w:r>
          </w:p>
        </w:tc>
        <w:tc>
          <w:tcPr>
            <w:tcW w:type="dxa" w:w="20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.3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 +- 1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.7</w:t>
            </w:r>
          </w:p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3151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708"/>
                <w:tab w:val="left" w:pos="1416"/>
                <w:tab w:val="left" w:pos="2124"/>
              </w:tabs>
              <w:jc w:val="center"/>
            </w:pPr>
            <w:r>
              <w:rPr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After 3 months examination</w:t>
            </w:r>
          </w:p>
        </w:tc>
        <w:tc>
          <w:tcPr>
            <w:tcW w:type="dxa" w:w="354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E</w:t>
            </w:r>
          </w:p>
        </w:tc>
        <w:tc>
          <w:tcPr>
            <w:tcW w:type="dxa" w:w="20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47</w:t>
            </w:r>
          </w:p>
        </w:tc>
        <w:tc>
          <w:tcPr>
            <w:tcW w:type="dxa" w:w="18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-</w:t>
            </w:r>
          </w:p>
        </w:tc>
        <w:tc>
          <w:tcPr>
            <w:tcW w:type="dxa" w:w="19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58</w:t>
            </w:r>
          </w:p>
        </w:tc>
        <w:tc>
          <w:tcPr>
            <w:tcW w:type="dxa" w:w="20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52</w:t>
            </w:r>
          </w:p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315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54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T</w:t>
            </w:r>
          </w:p>
        </w:tc>
        <w:tc>
          <w:tcPr>
            <w:tcW w:type="dxa" w:w="20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(+)</w:t>
            </w:r>
          </w:p>
        </w:tc>
        <w:tc>
          <w:tcPr>
            <w:tcW w:type="dxa" w:w="18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708"/>
                <w:tab w:val="left" w:pos="1416"/>
              </w:tabs>
              <w:jc w:val="center"/>
            </w:pPr>
            <w:r>
              <w:rPr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(-)</w:t>
            </w:r>
          </w:p>
        </w:tc>
        <w:tc>
          <w:tcPr>
            <w:tcW w:type="dxa" w:w="19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(+)</w:t>
            </w:r>
          </w:p>
        </w:tc>
        <w:tc>
          <w:tcPr>
            <w:tcW w:type="dxa" w:w="20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(+)</w:t>
            </w:r>
          </w:p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315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354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LDF PU +- SD</w:t>
            </w:r>
          </w:p>
        </w:tc>
        <w:tc>
          <w:tcPr>
            <w:tcW w:type="dxa" w:w="20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7.1 +- 1.8</w:t>
            </w:r>
          </w:p>
        </w:tc>
        <w:tc>
          <w:tcPr>
            <w:tcW w:type="dxa" w:w="18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-</w:t>
            </w:r>
          </w:p>
        </w:tc>
        <w:tc>
          <w:tcPr>
            <w:tcW w:type="dxa" w:w="19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5.4 +- 1.8</w:t>
            </w:r>
          </w:p>
        </w:tc>
        <w:tc>
          <w:tcPr>
            <w:tcW w:type="dxa" w:w="20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7.5 +- 1.6</w:t>
            </w:r>
          </w:p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3151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  <w:tab w:val="left" w:pos="2124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After 12 months examination</w:t>
            </w:r>
          </w:p>
        </w:tc>
        <w:tc>
          <w:tcPr>
            <w:tcW w:type="dxa" w:w="354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E</w:t>
            </w:r>
          </w:p>
        </w:tc>
        <w:tc>
          <w:tcPr>
            <w:tcW w:type="dxa" w:w="20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51</w:t>
            </w:r>
          </w:p>
        </w:tc>
        <w:tc>
          <w:tcPr>
            <w:tcW w:type="dxa" w:w="18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-</w:t>
            </w:r>
          </w:p>
        </w:tc>
        <w:tc>
          <w:tcPr>
            <w:tcW w:type="dxa" w:w="19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60</w:t>
            </w:r>
          </w:p>
        </w:tc>
        <w:tc>
          <w:tcPr>
            <w:tcW w:type="dxa" w:w="20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56</w:t>
            </w:r>
          </w:p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315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</w:tcPr>
          <w:p/>
        </w:tc>
        <w:tc>
          <w:tcPr>
            <w:tcW w:type="dxa" w:w="354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T</w:t>
            </w:r>
          </w:p>
        </w:tc>
        <w:tc>
          <w:tcPr>
            <w:tcW w:type="dxa" w:w="20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(+)</w:t>
            </w:r>
          </w:p>
        </w:tc>
        <w:tc>
          <w:tcPr>
            <w:tcW w:type="dxa" w:w="18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708"/>
                <w:tab w:val="left" w:pos="1416"/>
              </w:tabs>
              <w:jc w:val="center"/>
            </w:pPr>
            <w:r>
              <w:rPr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(-)</w:t>
            </w:r>
          </w:p>
        </w:tc>
        <w:tc>
          <w:tcPr>
            <w:tcW w:type="dxa" w:w="19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(+)</w:t>
            </w:r>
          </w:p>
        </w:tc>
        <w:tc>
          <w:tcPr>
            <w:tcW w:type="dxa" w:w="20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(+)</w:t>
            </w:r>
          </w:p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3151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</w:tcPr>
          <w:p/>
        </w:tc>
        <w:tc>
          <w:tcPr>
            <w:tcW w:type="dxa" w:w="354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  <w:tab w:val="left" w:pos="2124"/>
                <w:tab w:val="left" w:pos="2832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LDF PU +- SD</w:t>
            </w:r>
          </w:p>
        </w:tc>
        <w:tc>
          <w:tcPr>
            <w:tcW w:type="dxa" w:w="205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8.0 +- 1.6</w:t>
            </w:r>
          </w:p>
        </w:tc>
        <w:tc>
          <w:tcPr>
            <w:tcW w:type="dxa" w:w="185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-</w:t>
            </w:r>
          </w:p>
        </w:tc>
        <w:tc>
          <w:tcPr>
            <w:tcW w:type="dxa" w:w="190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4.8 +- 1.9</w:t>
            </w:r>
          </w:p>
        </w:tc>
        <w:tc>
          <w:tcPr>
            <w:tcW w:type="dxa" w:w="20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08"/>
                <w:tab w:val="left" w:pos="1416"/>
              </w:tabs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8.9 +-1.9</w:t>
            </w:r>
          </w:p>
        </w:tc>
      </w:tr>
    </w:tbl>
    <w:p>
      <w:pPr>
        <w:pStyle w:val="Normal.0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spacing w:after="200"/>
        <w:ind w:left="2" w:hanging="2"/>
        <w:jc w:val="both"/>
        <w:rPr>
          <w:outline w:val="0"/>
          <w:color w:val="000000"/>
          <w:u w:color="000000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</w:pPr>
    </w:p>
    <w:p>
      <w:pPr>
        <w:pStyle w:val="Normal.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spacing w:after="200" w:line="276" w:lineRule="auto"/>
        <w:rPr>
          <w:outline w:val="0"/>
          <w:color w:val="000000"/>
          <w:u w:color="000000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</w:pPr>
      <w:r>
        <w:rPr>
          <w:rStyle w:val="alt-edited"/>
          <w:rtl w:val="0"/>
          <w:lang w:val="en-US"/>
        </w:rPr>
        <w:t>- no response at maximum current voltage; (-) - no pulp reaction to cold test, (+) - appropriate response to cold test</w:t>
      </w:r>
    </w:p>
    <w:p>
      <w:pPr>
        <w:pStyle w:val="Normal.0"/>
        <w:tabs>
          <w:tab w:val="left" w:pos="6255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spacing w:after="200" w:line="276" w:lineRule="auto"/>
      </w:pPr>
      <w:r>
        <w:rPr>
          <w:outline w:val="0"/>
          <w:color w:val="000000"/>
          <w:u w:color="000000"/>
          <w:rtl w:val="0"/>
          <w:lang w:val="en-US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PU </w:t>
      </w:r>
      <w:r>
        <w:rPr>
          <w:outline w:val="0"/>
          <w:color w:val="000000"/>
          <w:u w:color="000000"/>
          <w:rtl w:val="0"/>
          <w:lang w:val="en-US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– </w:t>
      </w:r>
      <w:r>
        <w:rPr>
          <w:outline w:val="0"/>
          <w:color w:val="000000"/>
          <w:u w:color="000000"/>
          <w:rtl w:val="0"/>
          <w:lang w:val="en-US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Perfusion Unit; SD </w:t>
      </w:r>
      <w:r>
        <w:rPr>
          <w:outline w:val="0"/>
          <w:color w:val="000000"/>
          <w:u w:color="000000"/>
          <w:rtl w:val="0"/>
          <w:lang w:val="en-US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 xml:space="preserve">– </w:t>
      </w:r>
      <w:r>
        <w:rPr>
          <w:outline w:val="0"/>
          <w:color w:val="000000"/>
          <w:u w:color="000000"/>
          <w:rtl w:val="0"/>
          <w:lang w:val="en-US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w:t>standard deviation</w:t>
      </w:r>
    </w:p>
    <w:sectPr>
      <w:headerReference w:type="default" r:id="rId4"/>
      <w:footerReference w:type="default" r:id="rId5"/>
      <w:pgSz w:w="16840" w:h="11900" w:orient="landscape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  <w14:textFill>
        <w14:solidFill>
          <w14:srgbClr w14:val="000000"/>
        </w14:solidFill>
      </w14:textFill>
    </w:rPr>
  </w:style>
  <w:style w:type="character" w:styleId="alt-edited">
    <w:name w:val="alt-edited"/>
    <w:rPr>
      <w:lang w:val="en-US"/>
    </w:rPr>
  </w:style>
  <w:style w:type="paragraph" w:styleId="Domyślne A">
    <w:name w:val="Domyślne A"/>
    <w:next w:val="Domyślne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